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color w:val="000000"/>
          <w:sz w:val="72"/>
          <w:szCs w:val="72"/>
        </w:rPr>
      </w:pPr>
      <w:bookmarkStart w:id="1" w:name="_Toc15378441"/>
      <w:bookmarkStart w:id="2" w:name="_Toc15377193"/>
      <w:bookmarkStart w:id="3" w:name="_Toc15377425"/>
      <w:bookmarkStart w:id="4" w:name="_Toc15396597"/>
      <w:bookmarkStart w:id="5" w:name="_Toc15396475"/>
      <w:r>
        <w:rPr>
          <w:rFonts w:hint="eastAsia" w:ascii="方正小标宋简体" w:hAnsi="方正小标宋简体" w:eastAsia="方正小标宋简体" w:cs="方正小标宋简体"/>
          <w:color w:val="000000"/>
          <w:sz w:val="72"/>
          <w:szCs w:val="72"/>
        </w:rPr>
        <w:t>2019年度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000000"/>
          <w:sz w:val="72"/>
          <w:szCs w:val="72"/>
          <w:lang w:eastAsia="zh-CN"/>
        </w:rPr>
      </w:pPr>
      <w:bookmarkStart w:id="6" w:name="_Toc15377426"/>
      <w:bookmarkStart w:id="7" w:name="_Toc15377194"/>
      <w:bookmarkStart w:id="8" w:name="_Toc15396476"/>
      <w:bookmarkStart w:id="9" w:name="_Toc15378442"/>
      <w:bookmarkStart w:id="10" w:name="_Toc15396598"/>
      <w:r>
        <w:rPr>
          <w:rFonts w:hint="eastAsia" w:ascii="方正小标宋简体" w:hAnsi="方正小标宋简体" w:eastAsia="方正小标宋简体" w:cs="方正小标宋简体"/>
          <w:color w:val="000000"/>
          <w:sz w:val="72"/>
          <w:szCs w:val="72"/>
        </w:rPr>
        <w:t>四川省阿坝州</w:t>
      </w:r>
      <w:r>
        <w:rPr>
          <w:rFonts w:hint="eastAsia" w:ascii="方正小标宋简体" w:hAnsi="方正小标宋简体" w:eastAsia="方正小标宋简体" w:cs="方正小标宋简体"/>
          <w:color w:val="000000"/>
          <w:sz w:val="72"/>
          <w:szCs w:val="72"/>
          <w:lang w:eastAsia="zh-CN"/>
        </w:rPr>
        <w:t>壤塘县</w:t>
      </w:r>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000000"/>
          <w:sz w:val="72"/>
          <w:szCs w:val="72"/>
        </w:rPr>
      </w:pPr>
      <w:bookmarkStart w:id="11" w:name="_Toc15306268"/>
      <w:r>
        <w:rPr>
          <w:rFonts w:hint="eastAsia" w:ascii="方正小标宋简体" w:hAnsi="方正小标宋简体" w:eastAsia="方正小标宋简体" w:cs="方正小标宋简体"/>
          <w:color w:val="000000"/>
          <w:sz w:val="72"/>
          <w:szCs w:val="72"/>
          <w:lang w:eastAsia="zh-CN"/>
        </w:rPr>
        <w:t>人民检察院</w:t>
      </w:r>
      <w:r>
        <w:rPr>
          <w:rFonts w:hint="eastAsia" w:ascii="方正小标宋简体" w:hAnsi="方正小标宋简体" w:eastAsia="方正小标宋简体" w:cs="方正小标宋简体"/>
          <w:color w:val="000000"/>
          <w:sz w:val="72"/>
          <w:szCs w:val="72"/>
        </w:rPr>
        <w:t>部门决算</w:t>
      </w:r>
      <w:bookmarkEnd w:id="6"/>
      <w:bookmarkEnd w:id="7"/>
      <w:bookmarkEnd w:id="8"/>
      <w:bookmarkEnd w:id="9"/>
      <w:bookmarkEnd w:id="10"/>
      <w:bookmarkEnd w:id="11"/>
    </w:p>
    <w:p>
      <w:pPr>
        <w:widowControl/>
        <w:jc w:val="center"/>
        <w:rPr>
          <w:rFonts w:ascii="方正小标宋简体" w:hAnsi="宋体" w:eastAsia="方正小标宋简体"/>
          <w:color w:val="000000"/>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widowControl/>
        <w:jc w:val="center"/>
        <w:rPr>
          <w:rFonts w:ascii="黑体" w:hAnsi="黑体" w:eastAsia="黑体" w:cstheme="minorBidi"/>
          <w:sz w:val="28"/>
          <w:szCs w:val="28"/>
        </w:rPr>
      </w:pPr>
      <w:r>
        <w:rPr>
          <w:rFonts w:ascii="方正小标宋简体" w:hAnsi="宋体" w:eastAsia="方正小标宋简体"/>
          <w:sz w:val="36"/>
          <w:szCs w:val="36"/>
        </w:rPr>
        <w:br w:type="page"/>
      </w:r>
      <w:r>
        <w:rPr>
          <w:rFonts w:hint="eastAsia" w:ascii="方正小标宋简体" w:hAnsi="方正小标宋简体" w:eastAsia="方正小标宋简体" w:cs="方正小标宋简体"/>
          <w:color w:val="000000"/>
          <w:sz w:val="44"/>
          <w:szCs w:val="44"/>
        </w:rPr>
        <w:t>目录</w:t>
      </w:r>
    </w:p>
    <w:p>
      <w:pPr>
        <w:pStyle w:val="10"/>
      </w:pPr>
      <w:r>
        <w:rPr>
          <w:rFonts w:hint="eastAsia"/>
        </w:rPr>
        <w:t>公开时间：2020年</w:t>
      </w:r>
      <w:r>
        <w:rPr>
          <w:rFonts w:hint="eastAsia"/>
          <w:lang w:val="en-US" w:eastAsia="zh-CN"/>
        </w:rPr>
        <w:t>10</w:t>
      </w:r>
      <w:r>
        <w:rPr>
          <w:rFonts w:hint="eastAsia"/>
        </w:rPr>
        <w:t>月</w:t>
      </w:r>
      <w:r>
        <w:rPr>
          <w:rFonts w:hint="eastAsia"/>
          <w:lang w:val="en-US" w:eastAsia="zh-CN"/>
        </w:rPr>
        <w:t>22</w:t>
      </w:r>
      <w:r>
        <w:rPr>
          <w:rFonts w:hint="eastAsia"/>
        </w:rPr>
        <w:t>日</w:t>
      </w:r>
    </w:p>
    <w:p/>
    <w:p>
      <w:pPr>
        <w:pStyle w:val="10"/>
        <w:adjustRightInd w:val="0"/>
        <w:snapToGrid w:val="0"/>
        <w:spacing w:before="0" w:line="440" w:lineRule="exact"/>
        <w:jc w:val="left"/>
        <w:rPr>
          <w:rFonts w:hint="default" w:ascii="Times New Roman" w:hAnsi="Times New Roman" w:eastAsia="宋体" w:cs="Times New Roman"/>
          <w:kern w:val="2"/>
          <w:sz w:val="24"/>
          <w:szCs w:val="24"/>
          <w:lang w:val="en-US" w:eastAsia="zh-CN" w:bidi="ar-SA"/>
        </w:rPr>
      </w:pPr>
      <w:r>
        <w:rPr>
          <w:rFonts w:hint="eastAsia"/>
          <w:sz w:val="28"/>
          <w:szCs w:val="28"/>
        </w:rPr>
        <w:t>第一部分 部门概况</w:t>
      </w:r>
      <w:r>
        <w:rPr>
          <w:rFonts w:hint="eastAsia"/>
          <w:sz w:val="28"/>
          <w:szCs w:val="28"/>
          <w:lang w:val="en-US" w:eastAsia="zh-CN"/>
        </w:rPr>
        <w:t>..</w:t>
      </w:r>
      <w:r>
        <w:rPr>
          <w:rFonts w:hint="eastAsia"/>
          <w:sz w:val="24"/>
          <w:lang w:val="en-US" w:eastAsia="zh-CN"/>
        </w:rPr>
        <w:t>.........................................</w:t>
      </w:r>
      <w:r>
        <w:rPr>
          <w:rFonts w:hint="eastAsia" w:ascii="Times New Roman" w:hAnsi="Times New Roman" w:eastAsia="宋体" w:cs="Times New Roman"/>
          <w:kern w:val="2"/>
          <w:sz w:val="24"/>
          <w:szCs w:val="24"/>
          <w:lang w:val="en-US" w:eastAsia="zh-CN" w:bidi="ar-SA"/>
        </w:rPr>
        <w:t>4</w:t>
      </w:r>
    </w:p>
    <w:p>
      <w:pPr>
        <w:pStyle w:val="11"/>
        <w:adjustRightInd w:val="0"/>
        <w:snapToGrid w:val="0"/>
        <w:spacing w:line="440" w:lineRule="exact"/>
        <w:jc w:val="left"/>
        <w:rPr>
          <w:rFonts w:hint="default"/>
          <w:sz w:val="24"/>
          <w:lang w:val="en-US" w:eastAsia="zh-CN"/>
        </w:rPr>
      </w:pPr>
      <w:r>
        <w:rPr>
          <w:rFonts w:hint="eastAsia"/>
          <w:sz w:val="24"/>
        </w:rPr>
        <w:t>一、基本职能及主要工作</w:t>
      </w:r>
      <w:r>
        <w:rPr>
          <w:rFonts w:hint="eastAsia"/>
          <w:sz w:val="24"/>
          <w:lang w:val="en-US" w:eastAsia="zh-CN"/>
        </w:rPr>
        <w:t>...........................................................................</w:t>
      </w:r>
      <w:r>
        <w:rPr>
          <w:rFonts w:hint="eastAsia" w:ascii="Times New Roman" w:hAnsi="Times New Roman" w:eastAsia="宋体" w:cs="Times New Roman"/>
          <w:kern w:val="2"/>
          <w:sz w:val="24"/>
          <w:szCs w:val="24"/>
          <w:lang w:val="en-US" w:eastAsia="zh-CN" w:bidi="ar-SA"/>
        </w:rPr>
        <w:t>.</w:t>
      </w:r>
      <w:r>
        <w:rPr>
          <w:rFonts w:hint="eastAsia"/>
          <w:sz w:val="24"/>
          <w:lang w:val="en-US" w:eastAsia="zh-CN"/>
        </w:rPr>
        <w:t>4</w:t>
      </w:r>
    </w:p>
    <w:p>
      <w:pPr>
        <w:pStyle w:val="11"/>
        <w:adjustRightInd w:val="0"/>
        <w:snapToGrid w:val="0"/>
        <w:spacing w:line="440" w:lineRule="exact"/>
        <w:jc w:val="left"/>
        <w:rPr>
          <w:rFonts w:hint="default"/>
          <w:sz w:val="24"/>
          <w:lang w:val="en-US" w:eastAsia="zh-CN"/>
        </w:rPr>
      </w:pPr>
      <w:r>
        <w:rPr>
          <w:rFonts w:hint="eastAsia"/>
          <w:sz w:val="24"/>
          <w:lang w:val="en-US" w:eastAsia="zh-CN"/>
        </w:rPr>
        <w:t>二、机构设置................................................................................................8</w:t>
      </w:r>
    </w:p>
    <w:p>
      <w:pPr>
        <w:pStyle w:val="10"/>
        <w:adjustRightInd w:val="0"/>
        <w:snapToGrid w:val="0"/>
        <w:spacing w:before="0" w:line="440" w:lineRule="exact"/>
        <w:jc w:val="left"/>
        <w:rPr>
          <w:rFonts w:hint="default" w:eastAsia="仿宋"/>
          <w:sz w:val="24"/>
          <w:szCs w:val="24"/>
          <w:lang w:val="en-US" w:eastAsia="zh-CN"/>
        </w:rPr>
      </w:pPr>
      <w:r>
        <w:rPr>
          <w:rFonts w:hint="eastAsia"/>
          <w:sz w:val="28"/>
          <w:szCs w:val="28"/>
          <w:lang w:val="en-US" w:eastAsia="zh-CN"/>
        </w:rPr>
        <w:t>第二部分度部门决算情况说明..</w:t>
      </w:r>
      <w:r>
        <w:rPr>
          <w:rFonts w:hint="eastAsia"/>
          <w:sz w:val="24"/>
          <w:lang w:val="en-US" w:eastAsia="zh-CN"/>
        </w:rPr>
        <w:t>...............................</w:t>
      </w:r>
      <w:r>
        <w:rPr>
          <w:rFonts w:hint="eastAsia" w:ascii="Times New Roman" w:hAnsi="Times New Roman" w:eastAsia="宋体" w:cs="Times New Roman"/>
          <w:kern w:val="2"/>
          <w:sz w:val="24"/>
          <w:szCs w:val="24"/>
          <w:lang w:val="en-US" w:eastAsia="zh-CN" w:bidi="ar-SA"/>
        </w:rPr>
        <w:t>9</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w:t>
      </w:r>
      <w:r>
        <w:rPr>
          <w:rFonts w:hint="eastAsia" w:ascii="Times New Roman" w:hAnsi="Times New Roman" w:eastAsia="宋体" w:cs="Times New Roman"/>
          <w:kern w:val="2"/>
          <w:sz w:val="24"/>
          <w:szCs w:val="24"/>
          <w:lang w:val="en-US" w:eastAsia="zh-CN" w:bidi="ar-SA"/>
        </w:rPr>
        <w:t>9</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w:t>
      </w:r>
      <w:r>
        <w:rPr>
          <w:rFonts w:hint="eastAsia" w:ascii="Times New Roman" w:hAnsi="Times New Roman" w:eastAsia="宋体" w:cs="Times New Roman"/>
          <w:kern w:val="2"/>
          <w:sz w:val="24"/>
          <w:szCs w:val="24"/>
          <w:lang w:val="en-US" w:eastAsia="zh-CN" w:bidi="ar-SA"/>
        </w:rPr>
        <w:t>.10</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 .......................</w:t>
      </w:r>
      <w:r>
        <w:rPr>
          <w:rFonts w:hint="eastAsia" w:ascii="Times New Roman" w:hAnsi="Times New Roman" w:eastAsia="宋体" w:cs="Times New Roman"/>
          <w:kern w:val="2"/>
          <w:sz w:val="24"/>
          <w:szCs w:val="24"/>
          <w:lang w:val="en-US" w:eastAsia="zh-CN" w:bidi="ar-SA"/>
        </w:rPr>
        <w:t>11</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...............................................11</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.......................................12</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...............................15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七、</w:t>
      </w:r>
      <w:r>
        <w:rPr>
          <w:sz w:val="24"/>
        </w:rPr>
        <w:t>“</w:t>
      </w:r>
      <w:r>
        <w:rPr>
          <w:rFonts w:hint="eastAsia"/>
          <w:sz w:val="24"/>
        </w:rPr>
        <w:t>三公”经费财政拨款支出决算情况说明</w:t>
      </w:r>
      <w:r>
        <w:rPr>
          <w:rFonts w:hint="eastAsia"/>
          <w:sz w:val="24"/>
          <w:lang w:val="en-US" w:eastAsia="zh-CN"/>
        </w:rPr>
        <w:t>.........................................15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...................................................17</w:t>
      </w:r>
    </w:p>
    <w:p>
      <w:pPr>
        <w:pStyle w:val="11"/>
        <w:adjustRightInd w:val="0"/>
        <w:snapToGrid w:val="0"/>
        <w:spacing w:line="440" w:lineRule="exact"/>
        <w:jc w:val="left"/>
        <w:rPr>
          <w:rFonts w:hint="default" w:ascii="仿宋" w:hAnsi="仿宋" w:eastAsia="宋体"/>
          <w:sz w:val="24"/>
          <w:lang w:val="en-US" w:eastAsia="zh-CN"/>
        </w:rPr>
      </w:pPr>
      <w:r>
        <w:rPr>
          <w:rFonts w:hint="eastAsia"/>
          <w:sz w:val="24"/>
        </w:rPr>
        <w:t xml:space="preserve">九、 </w:t>
      </w:r>
      <w:r>
        <w:rPr>
          <w:sz w:val="24"/>
        </w:rPr>
        <w:t>国</w:t>
      </w:r>
      <w:r>
        <w:rPr>
          <w:rFonts w:hint="eastAsia"/>
          <w:sz w:val="24"/>
        </w:rPr>
        <w:t>有资本经营预算支出决算情况说明</w:t>
      </w:r>
      <w:r>
        <w:rPr>
          <w:rFonts w:hint="eastAsia"/>
          <w:sz w:val="24"/>
          <w:lang w:val="en-US" w:eastAsia="zh-CN"/>
        </w:rPr>
        <w:t>.............................................17</w:t>
      </w:r>
    </w:p>
    <w:p>
      <w:pPr>
        <w:pStyle w:val="11"/>
        <w:adjustRightInd w:val="0"/>
        <w:snapToGrid w:val="0"/>
        <w:spacing w:line="440" w:lineRule="exact"/>
        <w:jc w:val="left"/>
        <w:rPr>
          <w:rFonts w:hint="default" w:ascii="仿宋" w:hAnsi="仿宋" w:eastAsia="仿宋" w:cstheme="minorBidi"/>
          <w:sz w:val="24"/>
          <w:lang w:val="en-US" w:eastAsia="zh-CN"/>
        </w:rPr>
      </w:pPr>
      <w:r>
        <w:rPr>
          <w:rFonts w:hint="eastAsia" w:ascii="Times New Roman" w:hAnsi="Times New Roman" w:eastAsia="宋体" w:cs="Times New Roman"/>
          <w:kern w:val="2"/>
          <w:sz w:val="24"/>
          <w:szCs w:val="24"/>
          <w:lang w:val="en-US" w:eastAsia="zh-CN" w:bidi="ar-SA"/>
        </w:rPr>
        <w:t>十、</w:t>
      </w:r>
      <w:r>
        <w:rPr>
          <w:rFonts w:hint="eastAsia"/>
          <w:sz w:val="24"/>
        </w:rPr>
        <w:t>其他重要事项的情况说明</w:t>
      </w:r>
      <w:r>
        <w:rPr>
          <w:rFonts w:hint="eastAsia"/>
          <w:sz w:val="24"/>
          <w:lang w:val="en-US" w:eastAsia="zh-CN"/>
        </w:rPr>
        <w:t>...................................................................17</w:t>
      </w:r>
    </w:p>
    <w:p>
      <w:pPr>
        <w:pStyle w:val="10"/>
        <w:adjustRightInd w:val="0"/>
        <w:snapToGrid w:val="0"/>
        <w:spacing w:before="0" w:line="440" w:lineRule="exact"/>
        <w:jc w:val="left"/>
        <w:rPr>
          <w:rFonts w:hint="default" w:cstheme="minorBidi"/>
          <w:sz w:val="28"/>
          <w:szCs w:val="28"/>
          <w:lang w:val="en-US"/>
        </w:rPr>
      </w:pPr>
      <w:r>
        <w:rPr>
          <w:rFonts w:hint="eastAsia"/>
          <w:sz w:val="28"/>
          <w:szCs w:val="28"/>
        </w:rPr>
        <w:t>第三部分</w:t>
      </w:r>
      <w:r>
        <w:rPr>
          <w:sz w:val="28"/>
          <w:szCs w:val="28"/>
        </w:rPr>
        <w:t xml:space="preserve"> </w:t>
      </w:r>
      <w:r>
        <w:rPr>
          <w:rFonts w:hint="eastAsia"/>
          <w:sz w:val="28"/>
          <w:szCs w:val="28"/>
        </w:rPr>
        <w:t>名</w:t>
      </w:r>
      <w:r>
        <w:rPr>
          <w:rFonts w:hint="eastAsia"/>
          <w:sz w:val="28"/>
          <w:szCs w:val="28"/>
          <w:lang w:eastAsia="zh-CN"/>
        </w:rPr>
        <w:t>词解释</w:t>
      </w:r>
      <w:r>
        <w:rPr>
          <w:rFonts w:hint="eastAsia" w:cstheme="minorBidi"/>
          <w:sz w:val="28"/>
          <w:szCs w:val="28"/>
          <w:lang w:val="en-US" w:eastAsia="zh-CN"/>
        </w:rPr>
        <w:t>.....................................</w:t>
      </w:r>
      <w:r>
        <w:rPr>
          <w:rFonts w:hint="eastAsia" w:ascii="Times New Roman" w:hAnsi="Times New Roman" w:eastAsia="宋体" w:cs="Times New Roman"/>
          <w:kern w:val="2"/>
          <w:sz w:val="24"/>
          <w:szCs w:val="24"/>
          <w:lang w:val="en-US" w:eastAsia="zh-CN" w:bidi="ar-SA"/>
        </w:rPr>
        <w:t>21</w:t>
      </w:r>
    </w:p>
    <w:p>
      <w:pPr>
        <w:pStyle w:val="10"/>
        <w:adjustRightInd w:val="0"/>
        <w:snapToGrid w:val="0"/>
        <w:spacing w:before="0" w:line="440" w:lineRule="exact"/>
        <w:jc w:val="left"/>
        <w:rPr>
          <w:rFonts w:hint="default"/>
          <w:sz w:val="28"/>
          <w:szCs w:val="28"/>
          <w:lang w:val="en-US"/>
        </w:rPr>
      </w:pPr>
      <w:r>
        <w:rPr>
          <w:rFonts w:hint="eastAsia"/>
          <w:sz w:val="28"/>
          <w:szCs w:val="28"/>
        </w:rPr>
        <w:t>第</w:t>
      </w:r>
      <w:r>
        <w:rPr>
          <w:rFonts w:hint="eastAsia"/>
          <w:sz w:val="28"/>
          <w:szCs w:val="28"/>
          <w:lang w:eastAsia="zh-CN"/>
        </w:rPr>
        <w:t>四</w:t>
      </w:r>
      <w:r>
        <w:rPr>
          <w:rFonts w:hint="eastAsia"/>
          <w:sz w:val="28"/>
          <w:szCs w:val="28"/>
        </w:rPr>
        <w:t>部分</w:t>
      </w:r>
      <w:r>
        <w:rPr>
          <w:sz w:val="28"/>
          <w:szCs w:val="28"/>
        </w:rPr>
        <w:t xml:space="preserve"> </w:t>
      </w:r>
      <w:r>
        <w:rPr>
          <w:rFonts w:hint="eastAsia"/>
          <w:sz w:val="28"/>
          <w:szCs w:val="28"/>
          <w:lang w:eastAsia="zh-CN"/>
        </w:rPr>
        <w:t>附件</w:t>
      </w:r>
      <w:r>
        <w:rPr>
          <w:rFonts w:hint="eastAsia" w:cstheme="minorBidi"/>
          <w:sz w:val="28"/>
          <w:szCs w:val="28"/>
          <w:lang w:val="en-US" w:eastAsia="zh-CN"/>
        </w:rPr>
        <w:t>.........................................</w:t>
      </w:r>
      <w:r>
        <w:rPr>
          <w:rFonts w:hint="eastAsia" w:ascii="Times New Roman" w:hAnsi="Times New Roman" w:eastAsia="宋体" w:cs="Times New Roman"/>
          <w:kern w:val="2"/>
          <w:sz w:val="24"/>
          <w:szCs w:val="24"/>
          <w:lang w:val="en-US" w:eastAsia="zh-CN" w:bidi="ar-SA"/>
        </w:rPr>
        <w:t>24</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附件</w:t>
      </w:r>
      <w:r>
        <w:rPr>
          <w:sz w:val="24"/>
        </w:rPr>
        <w:t>1</w:t>
      </w:r>
      <w:r>
        <w:rPr>
          <w:rFonts w:hint="eastAsia"/>
          <w:sz w:val="24"/>
          <w:lang w:val="en-US" w:eastAsia="zh-CN"/>
        </w:rPr>
        <w:t>............................................................................................................</w:t>
      </w:r>
      <w:r>
        <w:rPr>
          <w:rFonts w:hint="eastAsia" w:ascii="Times New Roman" w:hAnsi="Times New Roman" w:eastAsia="宋体" w:cs="Times New Roman"/>
          <w:kern w:val="2"/>
          <w:sz w:val="24"/>
          <w:szCs w:val="24"/>
          <w:lang w:val="en-US" w:eastAsia="zh-CN" w:bidi="ar-SA"/>
        </w:rPr>
        <w:t>24</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附件</w:t>
      </w:r>
      <w:r>
        <w:rPr>
          <w:sz w:val="24"/>
        </w:rPr>
        <w:t>2</w:t>
      </w:r>
      <w:r>
        <w:rPr>
          <w:rFonts w:hint="eastAsia"/>
          <w:sz w:val="24"/>
          <w:lang w:val="en-US" w:eastAsia="zh-CN"/>
        </w:rPr>
        <w:t>............................................................................................................28</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8"/>
          <w:szCs w:val="28"/>
        </w:rPr>
        <w:t>第五部分</w:t>
      </w:r>
      <w:r>
        <w:rPr>
          <w:sz w:val="28"/>
          <w:szCs w:val="28"/>
        </w:rPr>
        <w:t xml:space="preserve"> </w:t>
      </w:r>
      <w:r>
        <w:rPr>
          <w:rFonts w:hint="eastAsia"/>
          <w:sz w:val="28"/>
          <w:szCs w:val="28"/>
        </w:rPr>
        <w:t>附表</w:t>
      </w:r>
      <w:r>
        <w:rPr>
          <w:rFonts w:hint="eastAsia"/>
          <w:sz w:val="28"/>
          <w:szCs w:val="28"/>
          <w:lang w:val="en-US" w:eastAsia="zh-CN"/>
        </w:rPr>
        <w:t>..</w:t>
      </w:r>
      <w:r>
        <w:rPr>
          <w:rFonts w:hint="eastAsia"/>
          <w:sz w:val="24"/>
          <w:lang w:val="en-US" w:eastAsia="zh-CN"/>
        </w:rPr>
        <w:t>.............................................</w:t>
      </w:r>
      <w:r>
        <w:rPr>
          <w:rFonts w:hint="eastAsia" w:ascii="Times New Roman" w:hAnsi="Times New Roman" w:eastAsia="宋体" w:cs="Times New Roman"/>
          <w:kern w:val="2"/>
          <w:sz w:val="24"/>
          <w:szCs w:val="24"/>
          <w:lang w:val="en-US" w:eastAsia="zh-CN" w:bidi="ar-SA"/>
        </w:rPr>
        <w:t>.32</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一、</w:t>
      </w:r>
      <w:r>
        <w:rPr>
          <w:rFonts w:hint="eastAsia"/>
          <w:sz w:val="24"/>
        </w:rPr>
        <w:t>收入支出决算总表</w:t>
      </w:r>
      <w:r>
        <w:rPr>
          <w:rFonts w:hint="eastAsia"/>
          <w:sz w:val="24"/>
          <w:lang w:val="en-US" w:eastAsia="zh-CN"/>
        </w:rPr>
        <w:t>...............................................................................32</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二、收</w:t>
      </w:r>
      <w:r>
        <w:rPr>
          <w:rFonts w:hint="eastAsia" w:ascii="宋体" w:hAnsi="宋体" w:eastAsia="宋体" w:cs="宋体"/>
          <w:sz w:val="24"/>
        </w:rPr>
        <w:t>入决算表</w:t>
      </w:r>
      <w:r>
        <w:rPr>
          <w:rFonts w:hint="eastAsia"/>
          <w:sz w:val="24"/>
          <w:lang w:val="en-US" w:eastAsia="zh-CN"/>
        </w:rPr>
        <w:t>...........................................................................................32</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三、支出决算表</w:t>
      </w:r>
      <w:r>
        <w:rPr>
          <w:rFonts w:hint="eastAsia"/>
          <w:sz w:val="24"/>
          <w:lang w:val="en-US" w:eastAsia="zh-CN"/>
        </w:rPr>
        <w:t>...........................................................................................32</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四、财政拨款收入支出决算总表</w:t>
      </w:r>
      <w:r>
        <w:rPr>
          <w:rFonts w:hint="eastAsia"/>
          <w:sz w:val="24"/>
          <w:lang w:val="en-US" w:eastAsia="zh-CN"/>
        </w:rPr>
        <w:t>...............................................................32</w:t>
      </w:r>
    </w:p>
    <w:p>
      <w:pPr>
        <w:pStyle w:val="11"/>
        <w:adjustRightInd w:val="0"/>
        <w:snapToGrid w:val="0"/>
        <w:spacing w:line="440" w:lineRule="exact"/>
        <w:jc w:val="left"/>
        <w:rPr>
          <w:rFonts w:hint="default" w:ascii="仿宋" w:hAnsi="仿宋" w:eastAsia="仿宋"/>
          <w:sz w:val="24"/>
          <w:lang w:val="en-US" w:eastAsia="zh-CN"/>
        </w:rPr>
      </w:pPr>
      <w:r>
        <w:rPr>
          <w:rFonts w:hint="eastAsia"/>
          <w:sz w:val="24"/>
        </w:rPr>
        <w:t>五、财政拨款支出决算明细表</w:t>
      </w:r>
      <w:r>
        <w:rPr>
          <w:rFonts w:hint="eastAsia" w:ascii="仿宋" w:hAnsi="仿宋" w:eastAsia="仿宋"/>
          <w:sz w:val="24"/>
          <w:lang w:val="en-US" w:eastAsia="zh-CN"/>
        </w:rPr>
        <w:t>.................................</w:t>
      </w:r>
      <w:r>
        <w:rPr>
          <w:rFonts w:hint="eastAsia" w:ascii="Times New Roman" w:hAnsi="Times New Roman" w:eastAsia="宋体" w:cs="Times New Roman"/>
          <w:kern w:val="2"/>
          <w:sz w:val="24"/>
          <w:szCs w:val="24"/>
          <w:lang w:val="en-US" w:eastAsia="zh-CN" w:bidi="ar-SA"/>
        </w:rPr>
        <w:t>.32</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六、一般公共预算财政拨款支出决算表</w:t>
      </w:r>
      <w:r>
        <w:rPr>
          <w:rFonts w:hint="eastAsia"/>
          <w:sz w:val="24"/>
          <w:lang w:val="en-US" w:eastAsia="zh-CN"/>
        </w:rPr>
        <w:t>...................................................32</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七、一般公共预算财政拨款支出决算明细表</w:t>
      </w:r>
      <w:r>
        <w:rPr>
          <w:rFonts w:hint="eastAsia"/>
          <w:sz w:val="24"/>
          <w:lang w:val="en-US" w:eastAsia="zh-CN"/>
        </w:rPr>
        <w:t>............................................32</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八、一般公共预算财政拨款基本支出决算表</w:t>
      </w:r>
      <w:r>
        <w:rPr>
          <w:rFonts w:hint="eastAsia"/>
          <w:sz w:val="24"/>
          <w:lang w:val="en-US" w:eastAsia="zh-CN"/>
        </w:rPr>
        <w:t>............................................32</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九、一般公共预算财政拨款项目支出决算表</w:t>
      </w:r>
      <w:r>
        <w:rPr>
          <w:rFonts w:hint="eastAsia"/>
          <w:sz w:val="24"/>
          <w:lang w:val="en-US" w:eastAsia="zh-CN"/>
        </w:rPr>
        <w:t>............................................32</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十、一般公共预算财政拨款“三公”经费支出决算表</w:t>
      </w:r>
      <w:r>
        <w:rPr>
          <w:rFonts w:hint="eastAsia"/>
          <w:sz w:val="24"/>
          <w:lang w:val="en-US" w:eastAsia="zh-CN"/>
        </w:rPr>
        <w:t>............................32</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十一、政府性基金预算财政拨款收入支出决算表</w:t>
      </w:r>
      <w:r>
        <w:rPr>
          <w:rFonts w:hint="eastAsia"/>
          <w:sz w:val="24"/>
          <w:lang w:val="en-US" w:eastAsia="zh-CN"/>
        </w:rPr>
        <w:t>....................................32</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十二、政府性基金预算财政拨款“三公”经费支出决算表</w:t>
      </w:r>
      <w:r>
        <w:rPr>
          <w:rFonts w:hint="eastAsia"/>
          <w:sz w:val="24"/>
          <w:lang w:val="en-US" w:eastAsia="zh-CN"/>
        </w:rPr>
        <w:t>....................32</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十三、国有资本经营预算支出决算表</w:t>
      </w:r>
      <w:r>
        <w:rPr>
          <w:rFonts w:hint="eastAsia"/>
          <w:sz w:val="24"/>
          <w:lang w:val="en-US" w:eastAsia="zh-CN"/>
        </w:rPr>
        <w:t>........................................................32</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pageBreakBefore w:val="0"/>
        <w:kinsoku/>
        <w:wordWrap/>
        <w:overflowPunct/>
        <w:topLinePunct w:val="0"/>
        <w:autoSpaceDE/>
        <w:autoSpaceDN/>
        <w:bidi w:val="0"/>
        <w:spacing w:line="560" w:lineRule="exact"/>
        <w:jc w:val="center"/>
        <w:textAlignment w:val="auto"/>
        <w:rPr>
          <w:rFonts w:ascii="黑体" w:eastAsia="黑体"/>
          <w:color w:val="000000"/>
          <w:sz w:val="32"/>
          <w:szCs w:val="32"/>
        </w:rPr>
      </w:pPr>
      <w:r>
        <w:rPr>
          <w:rFonts w:hint="eastAsia" w:ascii="方正小标宋简体" w:hAnsi="方正小标宋简体" w:eastAsia="方正小标宋简体" w:cs="方正小标宋简体"/>
          <w:b w:val="0"/>
        </w:rPr>
        <w:t xml:space="preserve">第一部分 </w:t>
      </w:r>
      <w:r>
        <w:rPr>
          <w:rStyle w:val="25"/>
          <w:rFonts w:hint="eastAsia" w:ascii="方正小标宋简体" w:hAnsi="方正小标宋简体" w:eastAsia="方正小标宋简体" w:cs="方正小标宋简体"/>
          <w:b w:val="0"/>
          <w:bCs w:val="0"/>
        </w:rPr>
        <w:t>部门概况</w:t>
      </w:r>
      <w:bookmarkEnd w:id="12"/>
      <w:bookmarkEnd w:id="13"/>
    </w:p>
    <w:p>
      <w:pPr>
        <w:pStyle w:val="3"/>
        <w:pageBreakBefore w:val="0"/>
        <w:kinsoku/>
        <w:wordWrap/>
        <w:overflowPunct/>
        <w:topLinePunct w:val="0"/>
        <w:autoSpaceDE/>
        <w:autoSpaceDN/>
        <w:bidi w:val="0"/>
        <w:spacing w:line="560" w:lineRule="exact"/>
        <w:ind w:firstLine="640" w:firstLineChars="200"/>
        <w:textAlignment w:val="auto"/>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pageBreakBefore w:val="0"/>
        <w:kinsoku/>
        <w:wordWrap/>
        <w:overflowPunct/>
        <w:topLinePunct w:val="0"/>
        <w:autoSpaceDE/>
        <w:autoSpaceDN/>
        <w:bidi w:val="0"/>
        <w:adjustRightInd w:val="0"/>
        <w:snapToGrid w:val="0"/>
        <w:spacing w:before="93" w:line="560" w:lineRule="exact"/>
        <w:ind w:firstLine="675" w:firstLineChars="210"/>
        <w:textAlignment w:val="auto"/>
        <w:outlineLvl w:val="2"/>
        <w:rPr>
          <w:rFonts w:hint="eastAsia" w:ascii="楷体_GB2312" w:hAnsi="楷体_GB2312" w:eastAsia="楷体_GB2312" w:cs="楷体_GB2312"/>
          <w:b/>
          <w:bCs w:val="0"/>
          <w:color w:val="000000"/>
          <w:sz w:val="32"/>
          <w:szCs w:val="32"/>
        </w:rPr>
      </w:pPr>
      <w:bookmarkStart w:id="16" w:name="_Toc15377198"/>
      <w:bookmarkStart w:id="17" w:name="_Toc15378445"/>
      <w:r>
        <w:rPr>
          <w:rFonts w:hint="eastAsia" w:ascii="楷体_GB2312" w:hAnsi="楷体_GB2312" w:eastAsia="楷体_GB2312" w:cs="楷体_GB2312"/>
          <w:b/>
          <w:bCs w:val="0"/>
          <w:color w:val="000000"/>
          <w:sz w:val="32"/>
          <w:szCs w:val="32"/>
        </w:rPr>
        <w:t>（一）主要职能</w:t>
      </w:r>
      <w:bookmarkEnd w:id="16"/>
      <w:bookmarkEnd w:id="17"/>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05" w:beforeAutospacing="0" w:after="105" w:afterAutospacing="0" w:line="560" w:lineRule="exact"/>
        <w:ind w:right="0"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1.深入贯彻习近平新时代中国特色社会主义思想，深入贯彻党的路线方针政策和决策部署，统一检察队伍思想和行动，坚持党对检察工作的绝对领导，坚决维护党中央权威和集中统一领导。</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05" w:beforeAutospacing="0" w:after="105" w:afterAutospacing="0" w:line="560" w:lineRule="exact"/>
        <w:ind w:right="0"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2.依法向壤塘县人民代表大会及其常务委员会提出议案。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05" w:beforeAutospacing="0" w:after="105" w:afterAutospacing="0" w:line="560" w:lineRule="exact"/>
        <w:ind w:right="0"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3.按照上级检察机关确定的工作方针，研究制定壤塘县人民检察院检察工作规划，部署检察工作任务。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05" w:beforeAutospacing="0" w:after="105" w:afterAutospacing="0" w:line="560" w:lineRule="exact"/>
        <w:ind w:right="0"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4.对刑事案件依法审查批准逮捕、决定逮捕、提起公诉。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05" w:beforeAutospacing="0" w:after="105" w:afterAutospacing="0" w:line="560" w:lineRule="exact"/>
        <w:ind w:right="0"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5.负责应由壤塘县人民检察院承办的刑事、民事、行政诉讼活动及刑事、民事、行政判决和裁定等生效法律文书执行的法律监督工作。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05" w:beforeAutospacing="0" w:after="105" w:afterAutospacing="0" w:line="560" w:lineRule="exact"/>
        <w:ind w:right="0"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6.负责应由壤塘县人民检察院承办的提起公益诉讼工作。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05" w:beforeAutospacing="0" w:after="105" w:afterAutospacing="0" w:line="560" w:lineRule="exact"/>
        <w:ind w:right="0"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7.负责应由壤塘县人民检察院承办的对看守所等执法活动的法律监督工作。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05" w:beforeAutospacing="0" w:after="105" w:afterAutospacing="0" w:line="560" w:lineRule="exact"/>
        <w:ind w:right="0"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8.受理向壤塘县人民检察院的控告申诉。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05" w:beforeAutospacing="0" w:after="105" w:afterAutospacing="0" w:line="560" w:lineRule="exact"/>
        <w:ind w:right="0"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9.开展检察机关的理论研究工作。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05" w:beforeAutospacing="0" w:after="105" w:afterAutospacing="0" w:line="560" w:lineRule="exact"/>
        <w:ind w:right="0"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10.负责壤塘县人民检察院队伍建设和思想政治工作。依法管理检察官及其他检察人员的工作，协同地方主管部门管理人民检察院的机构设置及人员编制，制定相关人员管理办法，组织开展壤塘县人民检察院教育培训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05" w:beforeAutospacing="0" w:after="105" w:afterAutospacing="0" w:line="560" w:lineRule="exact"/>
        <w:ind w:right="0"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11.协同地方党委主管部门管理和考核除检察长和其他领导班子成员以外的检察机关工作人员。</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05" w:beforeAutospacing="0" w:after="105" w:afterAutospacing="0" w:line="560" w:lineRule="exact"/>
        <w:ind w:right="0"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12.开展壤塘县人民检察院的检务督察工作。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05" w:beforeAutospacing="0" w:after="105" w:afterAutospacing="0" w:line="560" w:lineRule="exact"/>
        <w:ind w:right="0"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13.开展壤塘县人民检察院的财务装备、检察技术信息工作。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05" w:beforeAutospacing="0" w:after="105" w:afterAutospacing="0" w:line="560" w:lineRule="exact"/>
        <w:ind w:right="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lang w:val="en-US" w:eastAsia="zh-CN" w:bidi="ar-SA"/>
        </w:rPr>
        <w:t>14.负责其他应由壤塘县人民检察院承办的事项。</w:t>
      </w:r>
    </w:p>
    <w:p>
      <w:pPr>
        <w:pStyle w:val="5"/>
        <w:pageBreakBefore w:val="0"/>
        <w:kinsoku/>
        <w:wordWrap/>
        <w:overflowPunct/>
        <w:topLinePunct w:val="0"/>
        <w:autoSpaceDE/>
        <w:autoSpaceDN/>
        <w:bidi w:val="0"/>
        <w:adjustRightInd w:val="0"/>
        <w:snapToGrid w:val="0"/>
        <w:spacing w:before="93" w:line="560" w:lineRule="exact"/>
        <w:ind w:firstLine="675" w:firstLineChars="210"/>
        <w:textAlignment w:val="auto"/>
        <w:outlineLvl w:val="2"/>
        <w:rPr>
          <w:rFonts w:hint="eastAsia" w:ascii="楷体_GB2312" w:hAnsi="楷体_GB2312" w:eastAsia="楷体_GB2312" w:cs="楷体_GB2312"/>
          <w:b/>
          <w:bCs w:val="0"/>
          <w:color w:val="000000"/>
          <w:sz w:val="32"/>
          <w:szCs w:val="32"/>
        </w:rPr>
      </w:pPr>
      <w:bookmarkStart w:id="18" w:name="_Toc15377199"/>
      <w:bookmarkStart w:id="19" w:name="_Toc15378446"/>
      <w:r>
        <w:rPr>
          <w:rFonts w:hint="eastAsia" w:ascii="楷体_GB2312" w:hAnsi="楷体_GB2312" w:eastAsia="楷体_GB2312" w:cs="楷体_GB2312"/>
          <w:b/>
          <w:bCs w:val="0"/>
          <w:color w:val="000000"/>
          <w:sz w:val="32"/>
          <w:szCs w:val="32"/>
        </w:rPr>
        <w:t>（二）2019年重点工作完成情况</w:t>
      </w:r>
      <w:bookmarkEnd w:id="18"/>
      <w:bookmarkEnd w:id="19"/>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1、把握时代坐标，坚定政治方向</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准确把握新时代检察工作定位，始终把党和人民的要求期盼作为履职尽责的目标方向，坚持党的领导、人民当家作主、依法治国有机统一。</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坚持党对检察工作的绝对领导。始终坚持国家利益至上，牢固树立总体国家安全观，加强与法院、公安、国安等有关部门协调配合，积极做好检察环节维护社会稳定各项工作，严厉打击危害国家安全犯罪，切实维护国家政治安全特别是政权安全、制度安全。</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坚持以人民为中心的发展思想。践行“以人民为中心”的发展理念，落实“检察走进群众、群众了解检察、检察服务群众、群众支持检察”工作要求，把两联一进、脱贫攻坚、乡村振兴等为人民服务的各项要求落到实处，争取最大“同心圆”。拓宽便民服务渠道，以“12309检察服务中心”为支撑，搭建“中心+平台”的检察服务新模式，为群众及时提供便捷、高效、满意的检察服务。</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坚持服务脱贫攻坚重大战略。为坚决打赢脱贫攻坚这场硬仗，选派的1名“第一书记”、1名驻村工作队员继续驻村开展工作，推动各项扶贫措施精准落实。</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2、强化法律监督，维护司法公正</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坚持以办案为中心，统筹做好“四大检察”，惩治犯罪、维护稳定、保障人权、守护公益，努力让人民群众在每一个司法案件中感受到公平正义。</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做优刑事检察。坚持“严打”方针不动摇，积极开展社会综合治理，依法准确有力地打击严重暴力犯罪、多发性侵财犯罪等影响社会稳定、危害人民群众生命财产安全的刑事犯罪。</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做强民事行政检察。严格民事行政检察监督，为保护未成年人受教育的合法权益。</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做好公益诉讼检察。高度重视生态文明建设，落实习近平总书记关于“检察官是公共利益的代表，肩负着重要责任”的指示精神，全面发挥打击、监督、保护等职能，有力提升工作质效。</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3、深化专项工作，回应群众关切</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围绕社会稳定、食品安全等重点领域，聚焦主责主业，找准服务的切入点、发力点，努力做好检察专项工作。</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深入推进扫黑除恶专项斗争。紧紧围绕“两年深挖根治”阶段性目标，持续在依法严打、“破网打伞”“打财断血”上下功夫，加强检察环节线索排查。加强与有关部门的协作配合，完善涉黑涉恶案件提前介入、跟踪指导、案件研判等制度机制，把依法严惩的精神贯穿批捕、起诉和诉讼监督全过程。</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切实加强未成年人司法保护。积极落实最高人民检察院“一号检察建议”，邀请教育、妇联、团县委等部门负责人及代表委员进行座谈，督促县教育局建立预防性侵害未成年人工作机制。为加强青少年法治意识，开展“携手关爱，共护明天”检察开放日、“禁毒进校园”“双牵手”等活动。</w:t>
      </w:r>
    </w:p>
    <w:p>
      <w:pPr>
        <w:pStyle w:val="12"/>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持续开展舌尖上的安全专项活动。立足检察监督职能，深入开展“保障千家万户舌尖上的安全”专项监督活动，打造坚实的食品安全防线，确保舌尖上的安全。</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4、深化检察改革，提升司法公信力</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坚持把司法改革作为推动检察事业发展的关键，着力在“精装修”、抓落实上下功夫，不断提升检察工作质效和公信力。</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认真落实司法责任制改革。全面推行检察官办案责任制，完善检察官权力清单、责任清单，检察官在授权范围内依法独立办案、承担责任。</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深化内设机构及人员分类改革。按照“3+2”模式制定了《壤塘县人民检察院内设机构改革方案》，并按照《四川省市县两级人民检察院内设机构改革实施方案》积极推进内设机构改革，完成人员配备，进一步优化职能配置，整合了人才优势。</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进一步深化检务信息公开。将检务公开工作作为提升检察公信力和影响力的重要手段，主动及时发布重要案件信息，公开具有指导性、警示性、教育性的典型案例。</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5、顺应时代要求，强化从严治检</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按照 “五个过硬”要求，以政治建设为统领，内强素能，外树形象，努力打造让人民满意的检察队伍。</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加强检察队伍建设。按照锻造“四个铁一般”检察铁军的要求，不断加强“三类人员”建设，尽量做到了各归其位、各司其职。从政治上关心关爱干部，压实工作担子和责任，积极把信念坚定、为民服务、勤政务实、敢于担当、清政廉洁的好干部选拔到领导岗位。</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加强党风廉政建设。坚决执行重大事项请示报告制度，落实党组意识形态工作责任制,绝不做“两面人”“骑墙派”，保证检察权时刻在法治轨道内运行。</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szCs w:val="32"/>
          <w:lang w:val="en-US" w:eastAsia="zh-CN" w:bidi="ar-SA"/>
        </w:rPr>
        <w:t>加强基层基础建设。积极开展援藏受援工作。</w:t>
      </w:r>
    </w:p>
    <w:p>
      <w:pPr>
        <w:pStyle w:val="3"/>
        <w:pageBreakBefore w:val="0"/>
        <w:kinsoku/>
        <w:wordWrap/>
        <w:overflowPunct/>
        <w:topLinePunct w:val="0"/>
        <w:autoSpaceDE/>
        <w:autoSpaceDN/>
        <w:bidi w:val="0"/>
        <w:spacing w:line="560" w:lineRule="exact"/>
        <w:ind w:firstLine="640" w:firstLineChars="200"/>
        <w:textAlignment w:val="auto"/>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pageBreakBefore w:val="0"/>
        <w:widowControl/>
        <w:kinsoku/>
        <w:wordWrap/>
        <w:overflowPunct/>
        <w:topLinePunct w:val="0"/>
        <w:autoSpaceDE/>
        <w:autoSpaceDN/>
        <w:bidi w:val="0"/>
        <w:spacing w:line="560" w:lineRule="exact"/>
        <w:ind w:firstLine="640" w:firstLineChars="200"/>
        <w:jc w:val="left"/>
        <w:textAlignment w:val="auto"/>
        <w:rPr>
          <w:rFonts w:ascii="仿宋" w:hAnsi="仿宋" w:eastAsia="仿宋"/>
          <w:color w:val="000000"/>
          <w:kern w:val="0"/>
          <w:sz w:val="32"/>
          <w:szCs w:val="32"/>
        </w:rPr>
      </w:pPr>
      <w:r>
        <w:rPr>
          <w:rFonts w:hint="eastAsia" w:ascii="仿宋_GB2312" w:hAnsi="仿宋_GB2312" w:eastAsia="仿宋_GB2312" w:cs="仿宋_GB2312"/>
          <w:bCs/>
          <w:color w:val="000000"/>
          <w:kern w:val="0"/>
          <w:sz w:val="32"/>
          <w:szCs w:val="32"/>
          <w:lang w:val="en-US" w:eastAsia="zh-CN" w:bidi="ar-SA"/>
        </w:rPr>
        <w:t>壤塘县人民检察院属一级单位，无下属二级预算单位。</w:t>
      </w:r>
      <w:r>
        <w:rPr>
          <w:rFonts w:ascii="仿宋" w:hAnsi="仿宋" w:eastAsia="仿宋"/>
          <w:color w:val="000000"/>
          <w:sz w:val="32"/>
          <w:szCs w:val="32"/>
        </w:rPr>
        <w:br w:type="page"/>
      </w:r>
    </w:p>
    <w:p>
      <w:pPr>
        <w:pStyle w:val="2"/>
        <w:pageBreakBefore w:val="0"/>
        <w:widowControl w:val="0"/>
        <w:kinsoku/>
        <w:wordWrap/>
        <w:overflowPunct/>
        <w:topLinePunct w:val="0"/>
        <w:autoSpaceDE/>
        <w:autoSpaceDN/>
        <w:bidi w:val="0"/>
        <w:adjustRightInd/>
        <w:snapToGrid/>
        <w:spacing w:line="560" w:lineRule="exact"/>
        <w:ind w:right="440"/>
        <w:jc w:val="right"/>
        <w:textAlignment w:val="auto"/>
      </w:pPr>
      <w:bookmarkStart w:id="22" w:name="_Toc15377204"/>
      <w:bookmarkStart w:id="23" w:name="_Toc15396602"/>
      <w:r>
        <w:rPr>
          <w:rFonts w:hint="eastAsia" w:ascii="方正小标宋简体" w:hAnsi="方正小标宋简体" w:eastAsia="方正小标宋简体" w:cs="方正小标宋简体"/>
          <w:b w:val="0"/>
          <w:color w:val="000000"/>
        </w:rPr>
        <w:t>第二部分</w:t>
      </w:r>
      <w:r>
        <w:rPr>
          <w:rFonts w:hint="eastAsia" w:ascii="方正小标宋简体" w:hAnsi="方正小标宋简体" w:eastAsia="方正小标宋简体" w:cs="方正小标宋简体"/>
          <w:color w:val="000000"/>
        </w:rPr>
        <w:t xml:space="preserve"> </w:t>
      </w:r>
      <w:r>
        <w:rPr>
          <w:rStyle w:val="25"/>
          <w:rFonts w:hint="eastAsia" w:ascii="方正小标宋简体" w:hAnsi="方正小标宋简体" w:eastAsia="方正小标宋简体" w:cs="方正小标宋简体"/>
          <w:b w:val="0"/>
          <w:bCs w:val="0"/>
        </w:rPr>
        <w:t>2019年度部门决算情况说明</w:t>
      </w:r>
      <w:bookmarkEnd w:id="22"/>
      <w:bookmarkEnd w:id="23"/>
    </w:p>
    <w:p>
      <w:pPr>
        <w:pStyle w:val="24"/>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2019年度收</w:t>
      </w:r>
      <w:r>
        <w:rPr>
          <w:rFonts w:hint="eastAsia" w:ascii="仿宋_GB2312" w:hAnsi="仿宋_GB2312" w:eastAsia="仿宋_GB2312" w:cs="仿宋_GB2312"/>
          <w:color w:val="000000"/>
          <w:sz w:val="32"/>
          <w:szCs w:val="32"/>
          <w:lang w:eastAsia="zh-CN"/>
        </w:rPr>
        <w:t>入</w:t>
      </w:r>
      <w:r>
        <w:rPr>
          <w:rFonts w:hint="eastAsia" w:ascii="仿宋_GB2312" w:hAnsi="仿宋_GB2312" w:eastAsia="仿宋_GB2312" w:cs="仿宋_GB2312"/>
          <w:color w:val="000000"/>
          <w:sz w:val="32"/>
          <w:szCs w:val="32"/>
        </w:rPr>
        <w:t>总计</w:t>
      </w:r>
      <w:r>
        <w:rPr>
          <w:rFonts w:hint="eastAsia" w:ascii="仿宋_GB2312" w:hAnsi="仿宋_GB2312" w:eastAsia="仿宋_GB2312" w:cs="仿宋_GB2312"/>
          <w:color w:val="000000"/>
          <w:sz w:val="32"/>
          <w:szCs w:val="32"/>
          <w:lang w:val="en-US" w:eastAsia="zh-CN"/>
        </w:rPr>
        <w:t>904.18</w:t>
      </w:r>
      <w:r>
        <w:rPr>
          <w:rFonts w:hint="eastAsia" w:ascii="仿宋_GB2312" w:hAnsi="仿宋_GB2312" w:eastAsia="仿宋_GB2312" w:cs="仿宋_GB2312"/>
          <w:color w:val="000000"/>
          <w:sz w:val="32"/>
          <w:szCs w:val="32"/>
        </w:rPr>
        <w:t>万元。与2018年相比，收</w:t>
      </w:r>
      <w:r>
        <w:rPr>
          <w:rFonts w:hint="eastAsia" w:ascii="仿宋_GB2312" w:hAnsi="仿宋_GB2312" w:eastAsia="仿宋_GB2312" w:cs="仿宋_GB2312"/>
          <w:color w:val="000000"/>
          <w:sz w:val="32"/>
          <w:szCs w:val="32"/>
          <w:lang w:eastAsia="zh-CN"/>
        </w:rPr>
        <w:t>入</w:t>
      </w:r>
      <w:r>
        <w:rPr>
          <w:rFonts w:hint="eastAsia" w:ascii="仿宋_GB2312" w:hAnsi="仿宋_GB2312" w:eastAsia="仿宋_GB2312" w:cs="仿宋_GB2312"/>
          <w:color w:val="000000"/>
          <w:sz w:val="32"/>
          <w:szCs w:val="32"/>
        </w:rPr>
        <w:t>总计增加</w:t>
      </w:r>
      <w:r>
        <w:rPr>
          <w:rFonts w:hint="eastAsia" w:ascii="仿宋_GB2312" w:hAnsi="仿宋_GB2312" w:eastAsia="仿宋_GB2312" w:cs="仿宋_GB2312"/>
          <w:color w:val="000000"/>
          <w:sz w:val="32"/>
          <w:szCs w:val="32"/>
          <w:lang w:val="en-US" w:eastAsia="zh-CN"/>
        </w:rPr>
        <w:t>79.1</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sz w:val="32"/>
          <w:szCs w:val="32"/>
          <w:lang w:val="en-US" w:eastAsia="zh-CN"/>
        </w:rPr>
        <w:t>我院人员新增1名干警、7名聘用制书记员（编外），人员工资、社保费用、公积金的增加。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4963795" cy="3154680"/>
            <wp:effectExtent l="4445" t="4445" r="22860" b="222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2019年度支</w:t>
      </w:r>
      <w:r>
        <w:rPr>
          <w:rFonts w:hint="eastAsia" w:ascii="仿宋_GB2312" w:hAnsi="仿宋_GB2312" w:eastAsia="仿宋_GB2312" w:cs="仿宋_GB2312"/>
          <w:color w:val="000000"/>
          <w:sz w:val="32"/>
          <w:szCs w:val="32"/>
          <w:lang w:eastAsia="zh-CN"/>
        </w:rPr>
        <w:t>出</w:t>
      </w:r>
      <w:r>
        <w:rPr>
          <w:rFonts w:hint="eastAsia" w:ascii="仿宋_GB2312" w:hAnsi="仿宋_GB2312" w:eastAsia="仿宋_GB2312" w:cs="仿宋_GB2312"/>
          <w:color w:val="000000"/>
          <w:sz w:val="32"/>
          <w:szCs w:val="32"/>
        </w:rPr>
        <w:t>总计</w:t>
      </w:r>
      <w:r>
        <w:rPr>
          <w:rFonts w:hint="eastAsia" w:ascii="仿宋_GB2312" w:hAnsi="仿宋_GB2312" w:eastAsia="仿宋_GB2312" w:cs="仿宋_GB2312"/>
          <w:color w:val="000000"/>
          <w:sz w:val="32"/>
          <w:szCs w:val="32"/>
          <w:lang w:val="en-US" w:eastAsia="zh-CN"/>
        </w:rPr>
        <w:t>845.98</w:t>
      </w:r>
      <w:r>
        <w:rPr>
          <w:rFonts w:hint="eastAsia" w:ascii="仿宋_GB2312" w:hAnsi="仿宋_GB2312" w:eastAsia="仿宋_GB2312" w:cs="仿宋_GB2312"/>
          <w:color w:val="000000"/>
          <w:sz w:val="32"/>
          <w:szCs w:val="32"/>
        </w:rPr>
        <w:t>万元</w:t>
      </w:r>
      <w:r>
        <w:rPr>
          <w:rFonts w:hint="eastAsia" w:ascii="仿宋_GB2312" w:eastAsia="仿宋_GB2312"/>
          <w:sz w:val="32"/>
          <w:szCs w:val="32"/>
          <w:lang w:val="en-US" w:eastAsia="zh-CN"/>
        </w:rPr>
        <w:t>（存在0.01万元的收舍差）</w:t>
      </w:r>
      <w:r>
        <w:rPr>
          <w:rFonts w:hint="eastAsia" w:ascii="仿宋_GB2312" w:hAnsi="仿宋_GB2312" w:eastAsia="仿宋_GB2312" w:cs="仿宋_GB2312"/>
          <w:color w:val="000000"/>
          <w:sz w:val="32"/>
          <w:szCs w:val="32"/>
        </w:rPr>
        <w:t>。与2018年相比，支</w:t>
      </w:r>
      <w:r>
        <w:rPr>
          <w:rFonts w:hint="eastAsia" w:ascii="仿宋_GB2312" w:hAnsi="仿宋_GB2312" w:eastAsia="仿宋_GB2312" w:cs="仿宋_GB2312"/>
          <w:color w:val="000000"/>
          <w:sz w:val="32"/>
          <w:szCs w:val="32"/>
          <w:lang w:eastAsia="zh-CN"/>
        </w:rPr>
        <w:t>出</w:t>
      </w:r>
      <w:r>
        <w:rPr>
          <w:rFonts w:hint="eastAsia" w:ascii="仿宋_GB2312" w:hAnsi="仿宋_GB2312" w:eastAsia="仿宋_GB2312" w:cs="仿宋_GB2312"/>
          <w:color w:val="000000"/>
          <w:sz w:val="32"/>
          <w:szCs w:val="32"/>
        </w:rPr>
        <w:t>减少</w:t>
      </w:r>
      <w:r>
        <w:rPr>
          <w:rFonts w:hint="eastAsia" w:ascii="仿宋_GB2312" w:hAnsi="仿宋_GB2312" w:eastAsia="仿宋_GB2312" w:cs="仿宋_GB2312"/>
          <w:color w:val="000000"/>
          <w:sz w:val="32"/>
          <w:szCs w:val="32"/>
          <w:lang w:val="en-US" w:eastAsia="zh-CN"/>
        </w:rPr>
        <w:t>102.2</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我县看守所搬回壤塘，办案业务经费支出减少；且我院</w:t>
      </w:r>
      <w:r>
        <w:rPr>
          <w:rFonts w:hint="eastAsia" w:ascii="仿宋_GB2312" w:hAnsi="仿宋_GB2312" w:eastAsia="仿宋_GB2312" w:cs="仿宋_GB2312"/>
          <w:color w:val="000000"/>
          <w:sz w:val="32"/>
          <w:szCs w:val="32"/>
          <w:lang w:val="en-US" w:eastAsia="zh-CN"/>
        </w:rPr>
        <w:t>2019年使用经费时厉行节俭</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5132070" cy="3154680"/>
            <wp:effectExtent l="4445" t="4445" r="6985" b="222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4"/>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hint="eastAsia" w:ascii="仿宋_GB2312" w:eastAsia="仿宋_GB2312"/>
          <w:sz w:val="32"/>
          <w:szCs w:val="32"/>
          <w:lang w:val="en-US" w:eastAsia="zh-CN"/>
        </w:rPr>
        <w:t>2019年本年收入合计904.18万元，其中：一般公共预算财政拨款收入904.18万元，占100%；政府性基金预算财政拨款收入0万元，占0%；国有资本经营预算财政拨款收入0万元，占0%；事业收入0万元，占0%；经营收入0万元，占0%；附属单位上缴收入0万元，占0%；其他收入0万元，占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inline distT="0" distB="0" distL="114300" distR="114300">
            <wp:extent cx="4868545" cy="2201545"/>
            <wp:effectExtent l="4445" t="4445" r="22860" b="2286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4"/>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outlineLvl w:val="1"/>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2019年本年支出合计845.98万元（存在0.01万元的收舍差），其中：基本支出676.51万元，占80%；项目支出169.47万元（存在0.01万元的收舍差），占20%；上缴上级支出0万元，占0%；经营支出0万元，占0%；对附属单位补助支出0万元，占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4974590" cy="2931795"/>
            <wp:effectExtent l="4445" t="4445" r="12065" b="1651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2019年财政拨款收入总计904.18万元。与2018年相比，财政拨款收入总计增加79.10万元，增长10%。主要变动原因是2019年我院人员</w:t>
      </w:r>
      <w:r>
        <w:rPr>
          <w:rFonts w:hint="eastAsia" w:ascii="仿宋_GB2312" w:hAnsi="仿宋_GB2312" w:eastAsia="仿宋_GB2312" w:cs="仿宋_GB2312"/>
          <w:sz w:val="32"/>
          <w:szCs w:val="32"/>
          <w:lang w:val="en-US" w:eastAsia="zh-CN"/>
        </w:rPr>
        <w:t>新增1名干警、7名聘用制书记员（编外）</w:t>
      </w:r>
      <w:r>
        <w:rPr>
          <w:rFonts w:hint="eastAsia" w:ascii="仿宋_GB2312" w:eastAsia="仿宋_GB2312"/>
          <w:sz w:val="32"/>
          <w:szCs w:val="32"/>
          <w:lang w:val="en-US" w:eastAsia="zh-CN"/>
        </w:rPr>
        <w:t>，人员工资、社保费用、公积金的增加。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drawing>
          <wp:inline distT="0" distB="0" distL="114300" distR="114300">
            <wp:extent cx="5291455" cy="2730500"/>
            <wp:effectExtent l="4445" t="4445" r="19050" b="825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lang w:eastAsia="zh-CN"/>
        </w:rPr>
      </w:pPr>
      <w:r>
        <w:rPr>
          <w:rFonts w:hint="eastAsia" w:ascii="仿宋_GB2312" w:eastAsia="仿宋_GB2312"/>
          <w:sz w:val="32"/>
          <w:szCs w:val="32"/>
          <w:lang w:val="en-US" w:eastAsia="zh-CN"/>
        </w:rPr>
        <w:t>2019年财政拨款支出总计845.98万元（存在0.01万元的收舍差）。与2018年相比，财政拨款支出总计减少102.2万元，下降11%。</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我县看守所搬回壤塘，办案业务经费支出减少；且我院</w:t>
      </w:r>
      <w:r>
        <w:rPr>
          <w:rFonts w:hint="eastAsia" w:ascii="仿宋" w:hAnsi="仿宋" w:eastAsia="仿宋"/>
          <w:color w:val="000000"/>
          <w:sz w:val="32"/>
          <w:szCs w:val="32"/>
          <w:lang w:val="en-US" w:eastAsia="zh-CN"/>
        </w:rPr>
        <w:t>2019年使用经费时厉行节俭</w:t>
      </w:r>
      <w:r>
        <w:rPr>
          <w:rFonts w:hint="eastAsia" w:ascii="仿宋" w:hAnsi="仿宋"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b/>
          <w:color w:val="00B050"/>
          <w:sz w:val="32"/>
          <w:szCs w:val="32"/>
        </w:rPr>
      </w:pPr>
      <w:r>
        <w:rPr>
          <w:rFonts w:hint="eastAsia" w:ascii="仿宋" w:hAnsi="仿宋" w:eastAsia="仿宋"/>
          <w:color w:val="000000"/>
          <w:sz w:val="32"/>
          <w:szCs w:val="32"/>
          <w:lang w:eastAsia="zh-CN"/>
        </w:rPr>
        <w:drawing>
          <wp:inline distT="0" distB="0" distL="114300" distR="114300">
            <wp:extent cx="4878705" cy="2319020"/>
            <wp:effectExtent l="4445" t="4445" r="12700" b="1968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楷体_GB2312" w:hAnsi="楷体_GB2312" w:eastAsia="楷体_GB2312" w:cs="楷体_GB2312"/>
          <w:b/>
          <w:color w:val="000000"/>
          <w:sz w:val="32"/>
          <w:szCs w:val="32"/>
        </w:rPr>
      </w:pPr>
      <w:bookmarkStart w:id="34" w:name="_Toc15377210"/>
      <w:r>
        <w:rPr>
          <w:rFonts w:hint="eastAsia" w:ascii="楷体_GB2312" w:hAnsi="楷体_GB2312" w:eastAsia="楷体_GB2312" w:cs="楷体_GB2312"/>
          <w:b/>
          <w:color w:val="000000"/>
          <w:sz w:val="32"/>
          <w:szCs w:val="32"/>
        </w:rPr>
        <w:t>（一）一般公共预算财政拨款支出决算总体情况</w:t>
      </w:r>
      <w:bookmarkEnd w:id="3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lang w:eastAsia="zh-CN"/>
        </w:rPr>
      </w:pPr>
      <w:r>
        <w:rPr>
          <w:rFonts w:hint="eastAsia" w:ascii="仿宋_GB2312" w:eastAsia="仿宋_GB2312"/>
          <w:sz w:val="32"/>
          <w:szCs w:val="32"/>
          <w:lang w:val="en-US" w:eastAsia="zh-CN"/>
        </w:rPr>
        <w:t>2019年一般公共预算财政拨款支出845.98万元（存在0.01万元的收舍差），占本年支出合计的100%。与2018年相比，一般公共预算财政拨款减少102.1万元，下降11%。</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我县看守所搬回壤塘，办案业务经费支出减少；且我院</w:t>
      </w:r>
      <w:r>
        <w:rPr>
          <w:rFonts w:hint="eastAsia" w:ascii="仿宋" w:hAnsi="仿宋" w:eastAsia="仿宋"/>
          <w:color w:val="000000"/>
          <w:sz w:val="32"/>
          <w:szCs w:val="32"/>
          <w:lang w:val="en-US" w:eastAsia="zh-CN"/>
        </w:rPr>
        <w:t>2019年使用经费时厉行节俭</w:t>
      </w:r>
      <w:r>
        <w:rPr>
          <w:rFonts w:hint="eastAsia" w:ascii="仿宋" w:hAnsi="仿宋"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5588000" cy="3354705"/>
            <wp:effectExtent l="4445" t="4445" r="8255" b="1270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color w:val="000000"/>
          <w:sz w:val="32"/>
          <w:szCs w:val="32"/>
        </w:rPr>
      </w:pPr>
      <w:bookmarkStart w:id="35" w:name="_Toc15377211"/>
      <w:r>
        <w:rPr>
          <w:rFonts w:hint="eastAsia" w:ascii="仿宋_GB2312" w:hAnsi="仿宋_GB2312" w:eastAsia="仿宋_GB2312" w:cs="仿宋_GB2312"/>
          <w:b/>
          <w:color w:val="000000"/>
          <w:sz w:val="32"/>
          <w:szCs w:val="32"/>
        </w:rPr>
        <w:t>（二）一般公共预算财政拨款支出决算结构情况</w:t>
      </w:r>
      <w:bookmarkEnd w:id="35"/>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2019年一般公共预算财政拨款支出845.98万元（存在0.01万元的收舍差），主要用于以下方面:</w:t>
      </w:r>
      <w:r>
        <w:rPr>
          <w:rFonts w:hint="eastAsia" w:ascii="仿宋_GB2312" w:eastAsia="仿宋_GB2312"/>
          <w:b/>
          <w:bCs/>
          <w:sz w:val="32"/>
          <w:szCs w:val="32"/>
          <w:lang w:val="en-US" w:eastAsia="zh-CN"/>
        </w:rPr>
        <w:t>公共安全支出</w:t>
      </w:r>
      <w:r>
        <w:rPr>
          <w:rFonts w:hint="eastAsia" w:ascii="仿宋_GB2312" w:eastAsia="仿宋_GB2312"/>
          <w:sz w:val="32"/>
          <w:szCs w:val="32"/>
          <w:lang w:val="en-US" w:eastAsia="zh-CN"/>
        </w:rPr>
        <w:t>715.17万元（存在0.01万元的收舍差），占85%；</w:t>
      </w:r>
      <w:r>
        <w:rPr>
          <w:rFonts w:hint="eastAsia" w:ascii="仿宋_GB2312" w:eastAsia="仿宋_GB2312"/>
          <w:b/>
          <w:bCs/>
          <w:sz w:val="32"/>
          <w:szCs w:val="32"/>
          <w:lang w:val="en-US" w:eastAsia="zh-CN"/>
        </w:rPr>
        <w:t>社会保障和就业支出60.77</w:t>
      </w:r>
      <w:r>
        <w:rPr>
          <w:rFonts w:hint="eastAsia" w:ascii="仿宋_GB2312" w:eastAsia="仿宋_GB2312"/>
          <w:sz w:val="32"/>
          <w:szCs w:val="32"/>
          <w:lang w:val="en-US" w:eastAsia="zh-CN"/>
        </w:rPr>
        <w:t>万元，占7%；</w:t>
      </w:r>
      <w:r>
        <w:rPr>
          <w:rFonts w:hint="eastAsia" w:ascii="仿宋_GB2312" w:eastAsia="仿宋_GB2312"/>
          <w:b/>
          <w:bCs/>
          <w:sz w:val="32"/>
          <w:szCs w:val="32"/>
          <w:lang w:val="en-US" w:eastAsia="zh-CN"/>
        </w:rPr>
        <w:t>卫生健康支出</w:t>
      </w:r>
      <w:r>
        <w:rPr>
          <w:rFonts w:hint="eastAsia" w:ascii="仿宋_GB2312" w:eastAsia="仿宋_GB2312"/>
          <w:sz w:val="32"/>
          <w:szCs w:val="32"/>
          <w:lang w:val="en-US" w:eastAsia="zh-CN"/>
        </w:rPr>
        <w:t>21.92万元，占3%；</w:t>
      </w:r>
      <w:r>
        <w:rPr>
          <w:rFonts w:hint="eastAsia" w:ascii="仿宋_GB2312" w:eastAsia="仿宋_GB2312"/>
          <w:b/>
          <w:bCs/>
          <w:sz w:val="32"/>
          <w:szCs w:val="32"/>
          <w:lang w:val="en-US" w:eastAsia="zh-CN"/>
        </w:rPr>
        <w:t>住房保障支出</w:t>
      </w:r>
      <w:r>
        <w:rPr>
          <w:rFonts w:hint="eastAsia" w:ascii="仿宋_GB2312" w:eastAsia="仿宋_GB2312"/>
          <w:sz w:val="32"/>
          <w:szCs w:val="32"/>
          <w:lang w:val="en-US" w:eastAsia="zh-CN"/>
        </w:rPr>
        <w:t>48.12万元，占5%。</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ascii="仿宋" w:hAnsi="仿宋" w:eastAsia="仿宋"/>
          <w:color w:val="000000"/>
          <w:sz w:val="32"/>
          <w:szCs w:val="32"/>
        </w:rPr>
      </w:pPr>
      <w:r>
        <w:rPr>
          <w:rFonts w:hint="eastAsia" w:ascii="仿宋_GB2312" w:eastAsia="仿宋_GB2312"/>
          <w:sz w:val="32"/>
          <w:szCs w:val="32"/>
          <w:lang w:val="en-US" w:eastAsia="zh-CN"/>
        </w:rPr>
        <w:drawing>
          <wp:inline distT="0" distB="0" distL="114300" distR="114300">
            <wp:extent cx="4826635" cy="2582545"/>
            <wp:effectExtent l="4445" t="5080" r="7620" b="222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楷体_GB2312" w:hAnsi="楷体_GB2312" w:eastAsia="楷体_GB2312" w:cs="楷体_GB2312"/>
          <w:b/>
          <w:color w:val="000000"/>
          <w:sz w:val="32"/>
          <w:szCs w:val="32"/>
        </w:rPr>
      </w:pPr>
      <w:bookmarkStart w:id="36" w:name="_Toc15377212"/>
      <w:r>
        <w:rPr>
          <w:rFonts w:hint="eastAsia" w:ascii="楷体_GB2312" w:hAnsi="楷体_GB2312" w:eastAsia="楷体_GB2312" w:cs="楷体_GB2312"/>
          <w:b/>
          <w:color w:val="000000"/>
          <w:sz w:val="32"/>
          <w:szCs w:val="32"/>
        </w:rPr>
        <w:t>（三）一般公共预算财政拨款支出决算具体情况</w:t>
      </w:r>
      <w:bookmarkEnd w:id="3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color w:val="FF0000"/>
          <w:sz w:val="32"/>
          <w:szCs w:val="32"/>
        </w:rPr>
      </w:pPr>
      <w:r>
        <w:rPr>
          <w:rFonts w:hint="eastAsia" w:ascii="仿宋_GB2312" w:hAnsi="仿宋_GB2312" w:eastAsia="仿宋_GB2312" w:cs="仿宋_GB2312"/>
          <w:b/>
          <w:color w:val="000000" w:themeColor="text1"/>
          <w:sz w:val="32"/>
          <w:szCs w:val="32"/>
          <w14:textFill>
            <w14:solidFill>
              <w14:schemeClr w14:val="tx1"/>
            </w14:solidFill>
          </w14:textFill>
        </w:rPr>
        <w:t>201</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b/>
          <w:color w:val="000000" w:themeColor="text1"/>
          <w:sz w:val="32"/>
          <w:szCs w:val="32"/>
          <w14:textFill>
            <w14:solidFill>
              <w14:schemeClr w14:val="tx1"/>
            </w14:solidFill>
          </w14:textFill>
        </w:rPr>
        <w:t>年般公共预算支出决算数为</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845.98万元</w:t>
      </w:r>
      <w:r>
        <w:rPr>
          <w:rFonts w:hint="eastAsia" w:ascii="仿宋_GB2312" w:eastAsia="仿宋_GB2312"/>
          <w:sz w:val="32"/>
          <w:szCs w:val="32"/>
          <w:lang w:val="en-US" w:eastAsia="zh-CN"/>
        </w:rPr>
        <w:t>（存在0.01万元的收舍差）</w:t>
      </w:r>
      <w:r>
        <w:rPr>
          <w:rFonts w:hint="eastAsia" w:ascii="仿宋_GB2312" w:hAnsi="仿宋_GB2312" w:eastAsia="仿宋_GB2312" w:cs="仿宋_GB2312"/>
          <w:color w:val="000000" w:themeColor="text1"/>
          <w:sz w:val="32"/>
          <w:szCs w:val="32"/>
          <w14:textFill>
            <w14:solidFill>
              <w14:schemeClr w14:val="tx1"/>
            </w14:solidFill>
          </w14:textFill>
        </w:rPr>
        <w:t>，</w:t>
      </w:r>
      <w:r>
        <w:rPr>
          <w:rStyle w:val="15"/>
          <w:rFonts w:hint="eastAsia" w:ascii="仿宋_GB2312" w:hAnsi="仿宋_GB2312" w:eastAsia="仿宋_GB2312" w:cs="仿宋_GB2312"/>
          <w:bCs/>
          <w:color w:val="000000" w:themeColor="text1"/>
          <w:sz w:val="32"/>
          <w:szCs w:val="32"/>
          <w14:textFill>
            <w14:solidFill>
              <w14:schemeClr w14:val="tx1"/>
            </w14:solidFill>
          </w14:textFill>
        </w:rPr>
        <w:t>完成</w:t>
      </w:r>
      <w:r>
        <w:rPr>
          <w:rStyle w:val="15"/>
          <w:rFonts w:hint="eastAsia" w:ascii="仿宋_GB2312" w:hAnsi="仿宋_GB2312" w:eastAsia="仿宋_GB2312" w:cs="仿宋_GB2312"/>
          <w:bCs/>
          <w:color w:val="000000"/>
          <w:sz w:val="32"/>
          <w:szCs w:val="32"/>
        </w:rPr>
        <w:t>预算</w:t>
      </w:r>
      <w:r>
        <w:rPr>
          <w:rStyle w:val="15"/>
          <w:rFonts w:hint="eastAsia" w:ascii="仿宋_GB2312" w:hAnsi="仿宋_GB2312" w:eastAsia="仿宋_GB2312" w:cs="仿宋_GB2312"/>
          <w:bCs/>
          <w:color w:val="000000"/>
          <w:sz w:val="32"/>
          <w:szCs w:val="32"/>
          <w:lang w:val="en-US" w:eastAsia="zh-CN"/>
        </w:rPr>
        <w:t>89</w:t>
      </w:r>
      <w:r>
        <w:rPr>
          <w:rStyle w:val="15"/>
          <w:rFonts w:hint="eastAsia" w:ascii="仿宋_GB2312" w:hAnsi="仿宋_GB2312" w:eastAsia="仿宋_GB2312" w:cs="仿宋_GB2312"/>
          <w:bCs/>
          <w:color w:val="000000"/>
          <w:sz w:val="32"/>
          <w:szCs w:val="32"/>
        </w:rPr>
        <w:t>%。其中：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公共安全支出（</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204</w:t>
      </w:r>
      <w:r>
        <w:rPr>
          <w:rFonts w:hint="eastAsia" w:ascii="仿宋_GB2312" w:hAnsi="仿宋_GB2312" w:eastAsia="仿宋_GB2312" w:cs="仿宋_GB2312"/>
          <w:b/>
          <w:color w:val="000000" w:themeColor="text1"/>
          <w:sz w:val="32"/>
          <w:szCs w:val="32"/>
          <w:lang w:eastAsia="zh-CN"/>
          <w14:textFill>
            <w14:solidFill>
              <w14:schemeClr w14:val="tx1"/>
            </w14:solidFill>
          </w14:textFill>
        </w:rPr>
        <w:t>）检察（</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04</w:t>
      </w:r>
      <w:r>
        <w:rPr>
          <w:rFonts w:hint="eastAsia" w:ascii="仿宋_GB2312" w:hAnsi="仿宋_GB2312" w:eastAsia="仿宋_GB2312" w:cs="仿宋_GB2312"/>
          <w:b/>
          <w:color w:val="000000" w:themeColor="text1"/>
          <w:sz w:val="32"/>
          <w:szCs w:val="32"/>
          <w:lang w:eastAsia="zh-CN"/>
          <w14:textFill>
            <w14:solidFill>
              <w14:schemeClr w14:val="tx1"/>
            </w14:solidFill>
          </w14:textFill>
        </w:rPr>
        <w:t>）行政运行（</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01</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eastAsia="仿宋_GB2312"/>
          <w:sz w:val="32"/>
          <w:szCs w:val="32"/>
          <w:lang w:val="en-US" w:eastAsia="zh-CN"/>
        </w:rPr>
        <w:t>支出决算为545.70万元，完成预算95.97%，决算数小于预算数的主要原因是2019年我院厉行节俭，节约使用公用经费。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lang w:eastAsia="zh-CN"/>
          <w14:textFill>
            <w14:solidFill>
              <w14:schemeClr w14:val="tx1"/>
            </w14:solidFill>
          </w14:textFill>
        </w:rPr>
        <w:t>公共安全支出（</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204</w:t>
      </w:r>
      <w:r>
        <w:rPr>
          <w:rFonts w:hint="eastAsia" w:ascii="仿宋_GB2312" w:hAnsi="仿宋_GB2312" w:eastAsia="仿宋_GB2312" w:cs="仿宋_GB2312"/>
          <w:b/>
          <w:color w:val="000000" w:themeColor="text1"/>
          <w:sz w:val="32"/>
          <w:szCs w:val="32"/>
          <w:lang w:eastAsia="zh-CN"/>
          <w14:textFill>
            <w14:solidFill>
              <w14:schemeClr w14:val="tx1"/>
            </w14:solidFill>
          </w14:textFill>
        </w:rPr>
        <w:t>）检察（</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04</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）一般行政管理事务（</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02</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eastAsia="仿宋_GB2312"/>
          <w:sz w:val="32"/>
          <w:szCs w:val="32"/>
          <w:lang w:val="en-US" w:eastAsia="zh-CN"/>
        </w:rPr>
        <w:t>支出决算为82.11万元（存在0.01万元的收舍差），完成预算89%，决算数小于预算数的</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2019年</w:t>
      </w:r>
      <w:r>
        <w:rPr>
          <w:rFonts w:hint="eastAsia" w:ascii="仿宋" w:hAnsi="仿宋" w:eastAsia="仿宋"/>
          <w:color w:val="000000"/>
          <w:sz w:val="32"/>
          <w:szCs w:val="32"/>
          <w:lang w:eastAsia="zh-CN"/>
        </w:rPr>
        <w:t>我县看守所搬回壤塘，办案业务经费支出减少。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3.公共安全支出（204）检察（04）其他检察支出（99）:</w:t>
      </w:r>
      <w:r>
        <w:rPr>
          <w:rFonts w:hint="eastAsia" w:ascii="仿宋_GB2312" w:eastAsia="仿宋_GB2312"/>
          <w:sz w:val="32"/>
          <w:szCs w:val="32"/>
          <w:lang w:val="en-US" w:eastAsia="zh-CN"/>
        </w:rPr>
        <w:t>支出决算为83.36万元，完成预算89%，决算数小于预算数的主要原因是2019年</w:t>
      </w:r>
      <w:r>
        <w:rPr>
          <w:rFonts w:hint="eastAsia" w:ascii="仿宋" w:hAnsi="仿宋" w:eastAsia="仿宋"/>
          <w:color w:val="000000"/>
          <w:sz w:val="32"/>
          <w:szCs w:val="32"/>
          <w:lang w:eastAsia="zh-CN"/>
        </w:rPr>
        <w:t>我县看守所搬回壤塘，办案业务经费支出减少。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4.公共安全支出（204）司法（06）法律援助（07）:</w:t>
      </w:r>
      <w:r>
        <w:rPr>
          <w:rFonts w:hint="eastAsia" w:ascii="仿宋_GB2312" w:eastAsia="仿宋_GB2312"/>
          <w:sz w:val="32"/>
          <w:szCs w:val="32"/>
          <w:lang w:val="en-US" w:eastAsia="zh-CN"/>
        </w:rPr>
        <w:t>支出决算为4万元，完成预算133%，决算数大于预算数的主要原因是2019年我院司法救助案件增加。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000000"/>
          <w:sz w:val="32"/>
          <w:szCs w:val="32"/>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5.社会保障和就业支出（208）行政事业单位离退休（05）机关事业单位基本养老保险缴费支出（05）:</w:t>
      </w:r>
      <w:r>
        <w:rPr>
          <w:rFonts w:hint="eastAsia" w:ascii="仿宋_GB2312" w:eastAsia="仿宋_GB2312"/>
          <w:sz w:val="32"/>
          <w:szCs w:val="32"/>
          <w:lang w:val="en-US" w:eastAsia="zh-CN"/>
        </w:rPr>
        <w:t>支出决算为41.62万元，完成预算100%，决算数等于预算数。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5"/>
          <w:rFonts w:hint="eastAsia" w:ascii="仿宋" w:hAnsi="仿宋" w:eastAsia="仿宋"/>
          <w:bCs/>
          <w:color w:val="000000"/>
          <w:sz w:val="32"/>
          <w:szCs w:val="32"/>
          <w:lang w:val="en-US" w:eastAsia="zh-CN"/>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6.社会保障和就业支出（208）行政事业单位离退休（05）机关事业单位职业年金缴费支出（06）:</w:t>
      </w:r>
      <w:r>
        <w:rPr>
          <w:rFonts w:hint="eastAsia" w:ascii="仿宋_GB2312" w:eastAsia="仿宋_GB2312"/>
          <w:sz w:val="32"/>
          <w:szCs w:val="32"/>
          <w:lang w:val="en-US" w:eastAsia="zh-CN"/>
        </w:rPr>
        <w:t>支出决算为19.15万元，完成预算100%，决算数等于预算数。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7.卫生健康支出（210）行政事业单位医疗（11）行政单位医疗（01）:</w:t>
      </w:r>
      <w:r>
        <w:rPr>
          <w:rFonts w:hint="eastAsia" w:ascii="仿宋_GB2312" w:eastAsia="仿宋_GB2312"/>
          <w:sz w:val="32"/>
          <w:szCs w:val="32"/>
          <w:lang w:val="en-US" w:eastAsia="zh-CN"/>
        </w:rPr>
        <w:t>支出决算为21.92万元，完成预算100%，决算数等于预算数。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000000"/>
          <w:sz w:val="32"/>
          <w:szCs w:val="32"/>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8.住房保障支出（221）住房改革支出（02）住房公积金（01）:</w:t>
      </w:r>
      <w:r>
        <w:rPr>
          <w:rFonts w:hint="eastAsia" w:ascii="仿宋_GB2312" w:eastAsia="仿宋_GB2312"/>
          <w:sz w:val="32"/>
          <w:szCs w:val="32"/>
          <w:lang w:val="en-US" w:eastAsia="zh-CN"/>
        </w:rPr>
        <w:t>支出决算为48.12万元，完成预算100%，决算数等于预算数。</w:t>
      </w:r>
    </w:p>
    <w:p>
      <w:pPr>
        <w:keepNext w:val="0"/>
        <w:keepLines w:val="0"/>
        <w:pageBreakBefore w:val="0"/>
        <w:widowControl w:val="0"/>
        <w:tabs>
          <w:tab w:val="right" w:pos="8306"/>
        </w:tabs>
        <w:kinsoku/>
        <w:wordWrap/>
        <w:overflowPunct/>
        <w:topLinePunct w:val="0"/>
        <w:autoSpaceDE/>
        <w:autoSpaceDN/>
        <w:bidi w:val="0"/>
        <w:adjustRightInd/>
        <w:snapToGrid/>
        <w:spacing w:line="560" w:lineRule="exact"/>
        <w:ind w:firstLine="640"/>
        <w:textAlignment w:val="auto"/>
        <w:outlineLvl w:val="1"/>
        <w:rPr>
          <w:rStyle w:val="26"/>
        </w:rPr>
      </w:pPr>
      <w:bookmarkStart w:id="37" w:name="_Toc15377214"/>
      <w:bookmarkStart w:id="38"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37"/>
      <w:bookmarkEnd w:id="38"/>
      <w:r>
        <w:rPr>
          <w:rStyle w:val="26"/>
          <w:rFonts w:ascii="黑体" w:hAnsi="黑体" w:eastAsia="黑体"/>
          <w:b w:val="0"/>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bookmarkStart w:id="39" w:name="_Toc15396609"/>
      <w:bookmarkStart w:id="40" w:name="_Toc15377215"/>
      <w:r>
        <w:rPr>
          <w:rFonts w:hint="eastAsia" w:ascii="仿宋_GB2312" w:eastAsia="仿宋_GB2312"/>
          <w:sz w:val="32"/>
          <w:szCs w:val="32"/>
          <w:lang w:val="en-US" w:eastAsia="zh-CN"/>
        </w:rPr>
        <w:t>2019年一般公共预算财政拨款基本支出676.51万元，其中：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Fonts w:hint="eastAsia" w:ascii="仿宋_GB2312" w:eastAsia="仿宋_GB2312"/>
          <w:sz w:val="32"/>
          <w:szCs w:val="32"/>
          <w:lang w:val="en-US" w:eastAsia="zh-CN"/>
        </w:rPr>
      </w:pPr>
      <w:r>
        <w:rPr>
          <w:rFonts w:hint="eastAsia" w:ascii="仿宋_GB2312" w:eastAsia="仿宋_GB2312"/>
          <w:sz w:val="32"/>
          <w:szCs w:val="32"/>
          <w:lang w:val="en-US" w:eastAsia="zh-CN"/>
        </w:rPr>
        <w:t>人员经费634.30万元，主要包括：基本工资、津贴补贴、奖金、机关事业单位基本养老保险缴费、职业年金缴费、职工基本医疗保险缴费、其他社会保障缴费、住房公积金、离休费、生活补助、医疗费补助等。</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公用经费42.21万元，主要包括：办公费、手续费、水费、电费、邮电费、取暖费、差旅费、维修（护）费、培训费、公务接待费、被装购置费、劳务费、公务用车运行维护费等。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Style w:val="26"/>
          <w:rFonts w:ascii="黑体" w:hAnsi="黑体" w:eastAsia="黑体"/>
          <w:b w:val="0"/>
        </w:rPr>
      </w:pPr>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9"/>
      <w:bookmarkEnd w:id="40"/>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楷体_GB2312" w:eastAsia="楷体_GB2312" w:cs="楷体_GB2312"/>
          <w:b/>
          <w:color w:val="000000"/>
          <w:sz w:val="32"/>
          <w:szCs w:val="32"/>
        </w:rPr>
      </w:pPr>
      <w:bookmarkStart w:id="41" w:name="_Toc15377216"/>
      <w:r>
        <w:rPr>
          <w:rFonts w:hint="eastAsia" w:ascii="楷体_GB2312" w:hAnsi="楷体_GB2312" w:eastAsia="楷体_GB2312" w:cs="楷体_GB2312"/>
          <w:b/>
          <w:color w:val="000000"/>
          <w:sz w:val="32"/>
          <w:szCs w:val="32"/>
        </w:rPr>
        <w:t>（一）“三公”经费财政拨款支出决算总体情况说明</w:t>
      </w:r>
      <w:bookmarkEnd w:id="41"/>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b/>
          <w:color w:val="FF0000"/>
          <w:sz w:val="32"/>
          <w:szCs w:val="32"/>
        </w:rPr>
      </w:pPr>
      <w:r>
        <w:rPr>
          <w:rFonts w:hint="eastAsia" w:ascii="仿宋_GB2312" w:eastAsia="仿宋_GB2312"/>
          <w:sz w:val="32"/>
          <w:szCs w:val="32"/>
          <w:lang w:val="en-US" w:eastAsia="zh-CN"/>
        </w:rPr>
        <w:t>2019年“三公”经费财政拨款支出决算为29.8万元（包含所有的公务用车购置及运行维护费），完成预算100%，决算数与预算数持平。</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eastAsia" w:ascii="楷体_GB2312" w:hAnsi="楷体_GB2312" w:eastAsia="楷体_GB2312" w:cs="楷体_GB2312"/>
          <w:b/>
          <w:color w:val="000000"/>
          <w:sz w:val="32"/>
          <w:szCs w:val="32"/>
        </w:rPr>
      </w:pPr>
      <w:bookmarkStart w:id="42" w:name="_Toc15377217"/>
      <w:r>
        <w:rPr>
          <w:rFonts w:hint="eastAsia" w:ascii="楷体_GB2312" w:hAnsi="楷体_GB2312" w:eastAsia="楷体_GB2312" w:cs="楷体_GB2312"/>
          <w:b/>
          <w:color w:val="000000"/>
          <w:sz w:val="32"/>
          <w:szCs w:val="32"/>
        </w:rPr>
        <w:t>（二）“三公”经费财政拨款支出决算具体情况说明</w:t>
      </w:r>
      <w:bookmarkEnd w:id="42"/>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2019年“三公”经费财政拨款支出决算中，因公出国（境）费支出决算0万元，占0%；公务用车购置及运行维护费支出决算29万元（包含所有的公务用车购置及运行维护费），占97%；公务接待费支出决算0.8万元，占3%。具体情况如下：</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仿宋" w:hAnsi="仿宋" w:eastAsia="仿宋"/>
          <w:color w:val="000000"/>
          <w:sz w:val="32"/>
          <w:szCs w:val="32"/>
        </w:rPr>
      </w:pPr>
      <w:r>
        <w:rPr>
          <w:rFonts w:hint="eastAsia" w:ascii="仿宋" w:hAnsi="仿宋" w:eastAsia="仿宋"/>
          <w:color w:val="000000"/>
          <w:sz w:val="32"/>
          <w:szCs w:val="32"/>
          <w:lang w:eastAsia="zh-CN"/>
        </w:rPr>
        <w:drawing>
          <wp:inline distT="0" distB="0" distL="114300" distR="114300">
            <wp:extent cx="5005705" cy="2824480"/>
            <wp:effectExtent l="4445" t="4445" r="19050" b="95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sz w:val="32"/>
          <w:szCs w:val="32"/>
        </w:rPr>
      </w:pPr>
      <w:r>
        <w:rPr>
          <w:rFonts w:hint="eastAsia" w:ascii="仿宋_GB2312" w:eastAsia="仿宋_GB2312"/>
          <w:b/>
          <w:bCs/>
          <w:sz w:val="32"/>
          <w:szCs w:val="32"/>
          <w:lang w:val="en-US" w:eastAsia="zh-CN"/>
        </w:rPr>
        <w:t>1.因公出国（境）经费支出</w:t>
      </w:r>
      <w:r>
        <w:rPr>
          <w:rFonts w:hint="eastAsia" w:ascii="仿宋_GB2312" w:eastAsia="仿宋_GB2312"/>
          <w:sz w:val="32"/>
          <w:szCs w:val="32"/>
          <w:lang w:val="en-US" w:eastAsia="zh-CN"/>
        </w:rPr>
        <w:t>0万元，完成预算0%。全年安排因公出国（境）团组0次，出国（境）0人。因公出国（境）支出决算相较于2018年无变化。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2.公务用车购置及运行维护费支出</w:t>
      </w:r>
      <w:r>
        <w:rPr>
          <w:rFonts w:hint="eastAsia" w:ascii="仿宋_GB2312" w:eastAsia="仿宋_GB2312"/>
          <w:sz w:val="32"/>
          <w:szCs w:val="32"/>
          <w:lang w:val="en-US" w:eastAsia="zh-CN"/>
        </w:rPr>
        <w:t>29万元（包含所有的公务用车购置及运行维护费）,完成预算100%。公务用车购置及运行维护费支出决算比2018年减少5.63万元，下降16%。主要原因是2019年我院厉行节俭。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其中：</w:t>
      </w:r>
      <w:r>
        <w:rPr>
          <w:rFonts w:hint="eastAsia" w:ascii="仿宋_GB2312" w:eastAsia="仿宋_GB2312"/>
          <w:b/>
          <w:bCs/>
          <w:sz w:val="32"/>
          <w:szCs w:val="32"/>
          <w:lang w:val="en-US" w:eastAsia="zh-CN"/>
        </w:rPr>
        <w:t>公务用车购置支出</w:t>
      </w:r>
      <w:r>
        <w:rPr>
          <w:rFonts w:hint="eastAsia" w:ascii="仿宋_GB2312" w:eastAsia="仿宋_GB2312"/>
          <w:sz w:val="32"/>
          <w:szCs w:val="32"/>
          <w:lang w:val="en-US" w:eastAsia="zh-CN"/>
        </w:rPr>
        <w:t>0万元。全年按规定更新购置公务用车0辆，截至2019年12月底，我院共有公务用车6辆，其中：轿车1辆、越野车5辆。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公务用车运行维护费支出</w:t>
      </w:r>
      <w:r>
        <w:rPr>
          <w:rFonts w:hint="eastAsia" w:ascii="仿宋_GB2312" w:eastAsia="仿宋_GB2312"/>
          <w:sz w:val="32"/>
          <w:szCs w:val="32"/>
          <w:lang w:val="en-US" w:eastAsia="zh-CN"/>
        </w:rPr>
        <w:t>（包含所有的公务用车购置及运行维护费）29万元。主要用于办公办案等所需的公务用车燃料费、维修费、过路过桥费、保险费等支出。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3.公务接待费支出</w:t>
      </w:r>
      <w:r>
        <w:rPr>
          <w:rFonts w:hint="eastAsia" w:ascii="仿宋_GB2312" w:eastAsia="仿宋_GB2312"/>
          <w:sz w:val="32"/>
          <w:szCs w:val="32"/>
          <w:lang w:val="en-US" w:eastAsia="zh-CN"/>
        </w:rPr>
        <w:t>0.8万元，完成预算100%。公务接待费支出决算与2018年减少0.17万元，下降18%，主要原因为2019年我院厉行节俭。其中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0.8</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sz w:val="32"/>
          <w:szCs w:val="32"/>
          <w:lang w:val="en-US" w:eastAsia="zh-CN"/>
        </w:rPr>
        <w:t>主要用于执行公务、开展业务交流活动开支的住宿费、用餐费等。国内公务接待8批次，48人次（不包括陪同人员），共计支出0.8万元，具体内容包括：绵阳安州区人民检察院到壤塘县人民检察院开展援藏学习交流活动、甘孜州色达县人民检察院赴壤塘县人民检察院学习交流活动、绵阳涪城区人民检察院到壤塘县人民检察院开展援藏学习交流活动、阿坝州人民检察院绵到壤塘县人民检察院开展制服量体、巡察工作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黑体" w:eastAsia="黑体"/>
          <w:color w:val="000000"/>
          <w:sz w:val="32"/>
          <w:szCs w:val="32"/>
        </w:rPr>
      </w:pPr>
      <w:r>
        <w:rPr>
          <w:rFonts w:hint="eastAsia" w:ascii="仿宋_GB2312" w:eastAsia="仿宋_GB2312"/>
          <w:b/>
          <w:bCs/>
          <w:sz w:val="32"/>
          <w:szCs w:val="32"/>
          <w:lang w:val="en-US" w:eastAsia="zh-CN"/>
        </w:rPr>
        <w:t>外事接待支出</w:t>
      </w:r>
      <w:r>
        <w:rPr>
          <w:rFonts w:hint="eastAsia" w:ascii="仿宋_GB2312" w:eastAsia="仿宋_GB2312"/>
          <w:sz w:val="32"/>
          <w:szCs w:val="32"/>
          <w:lang w:val="en-US" w:eastAsia="zh-CN"/>
        </w:rPr>
        <w:t>0万元，外事接待0批次，0人，共计支出0万元。</w:t>
      </w:r>
      <w:bookmarkStart w:id="43" w:name="_Toc15377218"/>
      <w:bookmarkStart w:id="44" w:name="_Toc15396610"/>
    </w:p>
    <w:p>
      <w:pPr>
        <w:keepNext w:val="0"/>
        <w:keepLines w:val="0"/>
        <w:pageBreakBefore w:val="0"/>
        <w:widowControl w:val="0"/>
        <w:kinsoku/>
        <w:wordWrap/>
        <w:overflowPunct/>
        <w:topLinePunct w:val="0"/>
        <w:bidi w:val="0"/>
        <w:snapToGrid/>
        <w:spacing w:line="560" w:lineRule="exact"/>
        <w:ind w:firstLine="640"/>
        <w:textAlignment w:val="auto"/>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3"/>
      <w:bookmarkEnd w:id="44"/>
    </w:p>
    <w:p>
      <w:pPr>
        <w:keepNext w:val="0"/>
        <w:keepLines w:val="0"/>
        <w:pageBreakBefore w:val="0"/>
        <w:widowControl w:val="0"/>
        <w:kinsoku/>
        <w:wordWrap/>
        <w:overflowPunct/>
        <w:topLinePunct w:val="0"/>
        <w:bidi w:val="0"/>
        <w:snapToGrid/>
        <w:spacing w:line="560" w:lineRule="exact"/>
        <w:ind w:firstLine="640"/>
        <w:textAlignment w:val="auto"/>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keepNext w:val="0"/>
        <w:keepLines w:val="0"/>
        <w:pageBreakBefore w:val="0"/>
        <w:widowControl w:val="0"/>
        <w:numPr>
          <w:ilvl w:val="0"/>
          <w:numId w:val="2"/>
        </w:numPr>
        <w:kinsoku/>
        <w:wordWrap/>
        <w:overflowPunct/>
        <w:topLinePunct w:val="0"/>
        <w:bidi w:val="0"/>
        <w:snapToGrid/>
        <w:spacing w:line="560" w:lineRule="exact"/>
        <w:ind w:firstLine="640"/>
        <w:textAlignment w:val="auto"/>
        <w:outlineLvl w:val="1"/>
        <w:rPr>
          <w:rStyle w:val="26"/>
          <w:rFonts w:ascii="黑体" w:hAnsi="黑体" w:eastAsia="黑体"/>
          <w:b w:val="0"/>
        </w:rPr>
      </w:pPr>
      <w:bookmarkStart w:id="45" w:name="_Toc15396611"/>
      <w:bookmarkStart w:id="46" w:name="_Toc15377219"/>
      <w:r>
        <w:rPr>
          <w:rStyle w:val="26"/>
          <w:rFonts w:hint="eastAsia" w:ascii="黑体" w:hAnsi="黑体" w:eastAsia="黑体"/>
          <w:b w:val="0"/>
        </w:rPr>
        <w:t>国有资本经营预算支出决算情况说明</w:t>
      </w:r>
      <w:bookmarkEnd w:id="45"/>
      <w:bookmarkEnd w:id="46"/>
    </w:p>
    <w:p>
      <w:pPr>
        <w:keepNext w:val="0"/>
        <w:keepLines w:val="0"/>
        <w:pageBreakBefore w:val="0"/>
        <w:widowControl w:val="0"/>
        <w:kinsoku/>
        <w:wordWrap/>
        <w:overflowPunct/>
        <w:topLinePunct w:val="0"/>
        <w:bidi w:val="0"/>
        <w:snapToGrid/>
        <w:spacing w:line="560" w:lineRule="exact"/>
        <w:ind w:firstLine="640"/>
        <w:textAlignment w:val="auto"/>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Style w:val="26"/>
          <w:rFonts w:ascii="黑体" w:hAnsi="黑体" w:eastAsia="黑体"/>
        </w:rPr>
      </w:pPr>
      <w:bookmarkStart w:id="47" w:name="_Toc15396612"/>
      <w:bookmarkStart w:id="48"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47"/>
      <w:bookmarkEnd w:id="48"/>
    </w:p>
    <w:p>
      <w:pPr>
        <w:keepNext w:val="0"/>
        <w:keepLines w:val="0"/>
        <w:pageBreakBefore w:val="0"/>
        <w:widowControl w:val="0"/>
        <w:kinsoku/>
        <w:wordWrap/>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color w:val="000000"/>
          <w:sz w:val="32"/>
          <w:szCs w:val="32"/>
        </w:rPr>
      </w:pPr>
      <w:bookmarkStart w:id="49" w:name="_Toc15377222"/>
      <w:r>
        <w:rPr>
          <w:rFonts w:hint="eastAsia" w:ascii="楷体_GB2312" w:hAnsi="楷体_GB2312" w:eastAsia="楷体_GB2312" w:cs="楷体_GB2312"/>
          <w:b/>
          <w:color w:val="000000"/>
          <w:sz w:val="32"/>
          <w:szCs w:val="32"/>
        </w:rPr>
        <w:t>（一）机关运行经费支出情况</w:t>
      </w:r>
      <w:bookmarkEnd w:id="49"/>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olor w:val="000000"/>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壤塘县人民检察院</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42.21</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18.9</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31</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2019年</w:t>
      </w:r>
      <w:r>
        <w:rPr>
          <w:rFonts w:hint="eastAsia" w:ascii="仿宋" w:hAnsi="仿宋" w:eastAsia="仿宋"/>
          <w:color w:val="000000"/>
          <w:sz w:val="32"/>
          <w:szCs w:val="32"/>
          <w:lang w:eastAsia="zh-CN"/>
        </w:rPr>
        <w:t>我县看守所搬回壤塘，办案业务经费支出减少；且我院</w:t>
      </w:r>
      <w:r>
        <w:rPr>
          <w:rFonts w:hint="eastAsia" w:ascii="仿宋" w:hAnsi="仿宋" w:eastAsia="仿宋"/>
          <w:color w:val="000000"/>
          <w:sz w:val="32"/>
          <w:szCs w:val="32"/>
          <w:lang w:val="en-US" w:eastAsia="zh-CN"/>
        </w:rPr>
        <w:t>2019年使用经费时厉行节俭</w:t>
      </w:r>
      <w:r>
        <w:rPr>
          <w:rFonts w:hint="eastAsia" w:ascii="仿宋" w:hAnsi="仿宋" w:eastAsia="仿宋"/>
          <w:color w:val="000000"/>
          <w:sz w:val="32"/>
          <w:szCs w:val="32"/>
          <w:lang w:eastAsia="zh-CN"/>
        </w:rPr>
        <w:t>。</w:t>
      </w:r>
    </w:p>
    <w:p>
      <w:pPr>
        <w:keepNext w:val="0"/>
        <w:keepLines w:val="0"/>
        <w:pageBreakBefore w:val="0"/>
        <w:widowControl w:val="0"/>
        <w:kinsoku/>
        <w:wordWrap/>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color w:val="000000"/>
          <w:sz w:val="32"/>
          <w:szCs w:val="32"/>
        </w:rPr>
      </w:pPr>
      <w:bookmarkStart w:id="50" w:name="_Toc15377223"/>
      <w:r>
        <w:rPr>
          <w:rFonts w:hint="eastAsia" w:ascii="楷体_GB2312" w:hAnsi="楷体_GB2312" w:eastAsia="楷体_GB2312" w:cs="楷体_GB2312"/>
          <w:b/>
          <w:color w:val="000000"/>
          <w:sz w:val="32"/>
          <w:szCs w:val="32"/>
        </w:rPr>
        <w:t>（二）政府采购支出情况</w:t>
      </w:r>
      <w:bookmarkEnd w:id="50"/>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壤塘县人民检察院</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30.9</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30.9</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看守所检察室的基础设施建设</w:t>
      </w:r>
      <w:r>
        <w:rPr>
          <w:rFonts w:hint="eastAsia" w:ascii="仿宋_GB2312" w:eastAsia="仿宋_GB2312"/>
          <w:color w:val="000000"/>
          <w:sz w:val="32"/>
          <w:szCs w:val="32"/>
        </w:rPr>
        <w:t>。</w:t>
      </w:r>
    </w:p>
    <w:p>
      <w:pPr>
        <w:keepNext w:val="0"/>
        <w:keepLines w:val="0"/>
        <w:pageBreakBefore w:val="0"/>
        <w:widowControl w:val="0"/>
        <w:kinsoku/>
        <w:wordWrap/>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color w:val="000000"/>
          <w:sz w:val="32"/>
          <w:szCs w:val="32"/>
        </w:rPr>
      </w:pPr>
      <w:bookmarkStart w:id="51" w:name="_Toc15377224"/>
      <w:r>
        <w:rPr>
          <w:rFonts w:hint="eastAsia" w:ascii="楷体_GB2312" w:hAnsi="楷体_GB2312" w:eastAsia="楷体_GB2312" w:cs="楷体_GB2312"/>
          <w:b/>
          <w:color w:val="000000"/>
          <w:sz w:val="32"/>
          <w:szCs w:val="32"/>
        </w:rPr>
        <w:t>（三）国有资产占有使用情况</w:t>
      </w:r>
      <w:bookmarkEnd w:id="51"/>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2"/>
        <w:rPr>
          <w:rFonts w:hint="eastAsia"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壤塘县人民检察院</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辆，其中：一般公务用车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keepNext w:val="0"/>
        <w:keepLines w:val="0"/>
        <w:pageBreakBefore w:val="0"/>
        <w:widowControl w:val="0"/>
        <w:kinsoku/>
        <w:wordWrap/>
        <w:overflowPunct/>
        <w:topLinePunct w:val="0"/>
        <w:bidi w:val="0"/>
        <w:snapToGrid/>
        <w:spacing w:line="560" w:lineRule="exact"/>
        <w:ind w:firstLine="643" w:firstLineChars="200"/>
        <w:textAlignment w:val="auto"/>
        <w:outlineLvl w:val="2"/>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（四）预算绩效管理情况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我院</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eastAsia="zh-CN"/>
        </w:rPr>
        <w:t>司法救助金这一项目</w:t>
      </w:r>
      <w:r>
        <w:rPr>
          <w:rFonts w:hint="eastAsia" w:ascii="仿宋_GB2312" w:hAnsi="仿宋_GB2312" w:eastAsia="仿宋_GB2312" w:cs="仿宋_GB2312"/>
          <w:sz w:val="32"/>
          <w:szCs w:val="32"/>
        </w:rPr>
        <w:t>开展了预算事前绩效评估，编制了绩效目标，预算执行过程中，开展绩效监控，年终执行完毕后，开展了绩效目标完成情况自评。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我院</w:t>
      </w:r>
      <w:r>
        <w:rPr>
          <w:rFonts w:hint="eastAsia" w:ascii="仿宋_GB2312" w:hAnsi="仿宋_GB2312" w:eastAsia="仿宋_GB2312" w:cs="仿宋_GB2312"/>
          <w:sz w:val="32"/>
          <w:szCs w:val="32"/>
        </w:rPr>
        <w:t>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司法救助金</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这一</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绩效目标实际完成情况。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仿宋_GB2312" w:eastAsia="仿宋_GB2312" w:cs="仿宋_GB2312"/>
          <w:sz w:val="32"/>
          <w:szCs w:val="32"/>
          <w:lang w:eastAsia="zh-CN"/>
        </w:rPr>
        <w:t>司法救助金</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万元，执行数</w:t>
      </w:r>
      <w:r>
        <w:rPr>
          <w:rFonts w:hint="eastAsia" w:ascii="仿宋_GB2312" w:hAnsi="仿宋_GB2312" w:eastAsia="仿宋_GB2312" w:cs="仿宋_GB2312"/>
          <w:sz w:val="32"/>
          <w:szCs w:val="32"/>
          <w:lang w:eastAsia="zh-CN"/>
        </w:rPr>
        <w:t>加上上年结余</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133</w:t>
      </w:r>
      <w:r>
        <w:rPr>
          <w:rFonts w:hint="eastAsia" w:ascii="仿宋_GB2312" w:hAnsi="仿宋_GB2312" w:eastAsia="仿宋_GB2312" w:cs="仿宋_GB2312"/>
          <w:sz w:val="32"/>
          <w:szCs w:val="32"/>
        </w:rPr>
        <w:t>%。通过项目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实施，</w:t>
      </w:r>
      <w:r>
        <w:rPr>
          <w:rFonts w:hint="eastAsia" w:ascii="仿宋_GB2312" w:hAnsi="宋体" w:eastAsia="仿宋_GB2312" w:cs="宋体"/>
          <w:kern w:val="0"/>
          <w:sz w:val="32"/>
          <w:szCs w:val="32"/>
          <w:lang w:val="en-US" w:eastAsia="zh-CN"/>
        </w:rPr>
        <w:t>加强了社会治安综合治理工作，确保全县平安稳定，保障社会公平正义，促进社会和谐稳定。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val="en-US" w:eastAsia="zh-CN"/>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865"/>
        <w:gridCol w:w="155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36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633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司法救助金</w:t>
            </w:r>
          </w:p>
        </w:tc>
      </w:tr>
      <w:tr>
        <w:tblPrEx>
          <w:tblCellMar>
            <w:top w:w="0" w:type="dxa"/>
            <w:left w:w="0" w:type="dxa"/>
            <w:bottom w:w="0" w:type="dxa"/>
            <w:right w:w="0" w:type="dxa"/>
          </w:tblCellMar>
        </w:tblPrEx>
        <w:trPr>
          <w:trHeight w:val="276" w:hRule="atLeast"/>
          <w:jc w:val="center"/>
        </w:trPr>
        <w:tc>
          <w:tcPr>
            <w:tcW w:w="36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633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壤塘县人民检察院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32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32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w:t>
            </w:r>
          </w:p>
        </w:tc>
      </w:tr>
      <w:tr>
        <w:tblPrEx>
          <w:tblCellMar>
            <w:top w:w="0" w:type="dxa"/>
            <w:left w:w="0" w:type="dxa"/>
            <w:bottom w:w="0" w:type="dxa"/>
            <w:right w:w="0" w:type="dxa"/>
          </w:tblCellMar>
        </w:tblPrEx>
        <w:trPr>
          <w:trHeight w:val="116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323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0" w:firstLineChars="200"/>
              <w:jc w:val="left"/>
              <w:textAlignment w:val="center"/>
              <w:rPr>
                <w:rFonts w:hint="eastAsia" w:ascii="宋体" w:hAnsi="宋体" w:cs="宋体"/>
                <w:color w:val="000000"/>
                <w:kern w:val="0"/>
                <w:sz w:val="24"/>
                <w:lang w:val="en-US" w:eastAsia="zh-CN"/>
              </w:rPr>
            </w:pPr>
            <w:r>
              <w:rPr>
                <w:rFonts w:hint="eastAsia" w:ascii="宋体" w:hAnsi="宋体" w:cs="宋体"/>
                <w:color w:val="000000"/>
                <w:sz w:val="24"/>
              </w:rPr>
              <w:t xml:space="preserve"> </w:t>
            </w:r>
            <w:r>
              <w:rPr>
                <w:rFonts w:hint="eastAsia" w:ascii="宋体" w:hAnsi="宋体" w:cs="宋体"/>
                <w:color w:val="000000"/>
                <w:kern w:val="0"/>
                <w:sz w:val="24"/>
                <w:lang w:val="en-US" w:eastAsia="zh-CN"/>
              </w:rPr>
              <w:t>加强社会治安综合治理工作，确保全县平安稳定，保障社会公平正义，促进社会和谐稳定。</w:t>
            </w:r>
          </w:p>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 按时保质的完成</w:t>
            </w:r>
            <w:r>
              <w:rPr>
                <w:rFonts w:hint="eastAsia" w:ascii="宋体" w:hAnsi="宋体" w:cs="宋体"/>
                <w:color w:val="000000"/>
                <w:kern w:val="0"/>
                <w:sz w:val="24"/>
                <w:lang w:eastAsia="zh-CN"/>
              </w:rPr>
              <w:t>司法救助案件</w:t>
            </w:r>
            <w:r>
              <w:rPr>
                <w:rFonts w:hint="eastAsia" w:ascii="宋体" w:hAnsi="宋体" w:cs="宋体"/>
                <w:color w:val="000000"/>
                <w:kern w:val="0"/>
                <w:sz w:val="24"/>
              </w:rPr>
              <w:t>。</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1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司法救助上报情况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质量指标</w:t>
            </w:r>
          </w:p>
        </w:tc>
        <w:tc>
          <w:tcPr>
            <w:tcW w:w="1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司法救助审查情况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lang w:eastAsia="zh-CN"/>
              </w:rPr>
              <w:t>质量指标</w:t>
            </w:r>
          </w:p>
        </w:tc>
        <w:tc>
          <w:tcPr>
            <w:tcW w:w="1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司法救助资金发放情况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133%</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lang w:eastAsia="zh-CN"/>
              </w:rPr>
              <w:t>时效指标</w:t>
            </w:r>
          </w:p>
        </w:tc>
        <w:tc>
          <w:tcPr>
            <w:tcW w:w="1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资金</w:t>
            </w:r>
            <w:r>
              <w:rPr>
                <w:rFonts w:hint="eastAsia" w:ascii="宋体" w:hAnsi="宋体" w:cs="宋体"/>
                <w:color w:val="000000"/>
                <w:sz w:val="24"/>
              </w:rPr>
              <w:t>到位率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项目完成</w:t>
            </w:r>
            <w:r>
              <w:rPr>
                <w:rFonts w:hint="eastAsia" w:ascii="宋体" w:hAnsi="宋体" w:cs="宋体"/>
                <w:color w:val="000000"/>
                <w:kern w:val="0"/>
                <w:sz w:val="24"/>
              </w:rPr>
              <w:t>指标</w:t>
            </w:r>
          </w:p>
        </w:tc>
        <w:tc>
          <w:tcPr>
            <w:tcW w:w="1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1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项目完成时效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2019年12月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2019年12月</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成本</w:t>
            </w:r>
            <w:r>
              <w:rPr>
                <w:rFonts w:hint="eastAsia" w:ascii="宋体" w:hAnsi="宋体" w:cs="宋体"/>
                <w:color w:val="000000"/>
                <w:sz w:val="24"/>
              </w:rPr>
              <w:t>指标</w:t>
            </w:r>
          </w:p>
        </w:tc>
        <w:tc>
          <w:tcPr>
            <w:tcW w:w="1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司法救助金经费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3万元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1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社会稳定和谐发展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效益指标</w:t>
            </w:r>
          </w:p>
        </w:tc>
        <w:tc>
          <w:tcPr>
            <w:tcW w:w="1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1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一直开展司法救助工作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满意度指标</w:t>
            </w:r>
          </w:p>
        </w:tc>
        <w:tc>
          <w:tcPr>
            <w:tcW w:w="1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服务对象</w:t>
            </w:r>
          </w:p>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1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w:t>
            </w:r>
            <w:r>
              <w:rPr>
                <w:rFonts w:hint="eastAsia" w:ascii="宋体" w:hAnsi="宋体" w:cs="宋体"/>
                <w:color w:val="000000"/>
                <w:sz w:val="24"/>
                <w:lang w:eastAsia="zh-CN"/>
              </w:rPr>
              <w:t>司法救助工作的</w:t>
            </w:r>
            <w:r>
              <w:rPr>
                <w:rFonts w:hint="eastAsia" w:ascii="宋体" w:hAnsi="宋体" w:cs="宋体"/>
                <w:color w:val="000000"/>
                <w:sz w:val="24"/>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r>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满意度指标</w:t>
            </w:r>
          </w:p>
        </w:tc>
        <w:tc>
          <w:tcPr>
            <w:tcW w:w="1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服务对象</w:t>
            </w:r>
          </w:p>
          <w:p>
            <w:pPr>
              <w:widowControl/>
              <w:jc w:val="center"/>
              <w:textAlignment w:val="center"/>
              <w:rPr>
                <w:rFonts w:hint="eastAsia" w:ascii="宋体" w:hAnsi="宋体" w:cs="宋体"/>
                <w:color w:val="000000"/>
                <w:sz w:val="24"/>
              </w:rPr>
            </w:pPr>
            <w:r>
              <w:rPr>
                <w:rFonts w:hint="eastAsia" w:ascii="宋体" w:hAnsi="宋体" w:cs="宋体"/>
                <w:color w:val="000000"/>
                <w:sz w:val="24"/>
              </w:rPr>
              <w:t>满意度指标</w:t>
            </w:r>
          </w:p>
        </w:tc>
        <w:tc>
          <w:tcPr>
            <w:tcW w:w="1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来</w:t>
            </w:r>
            <w:r>
              <w:rPr>
                <w:rFonts w:hint="eastAsia" w:ascii="宋体" w:hAnsi="宋体" w:cs="宋体"/>
                <w:color w:val="000000"/>
                <w:sz w:val="24"/>
                <w:lang w:eastAsia="zh-CN"/>
              </w:rPr>
              <w:t>办理司法救助工作人员</w:t>
            </w:r>
            <w:r>
              <w:rPr>
                <w:rFonts w:hint="eastAsia" w:ascii="宋体" w:hAnsi="宋体" w:cs="宋体"/>
                <w:color w:val="000000"/>
                <w:sz w:val="24"/>
              </w:rPr>
              <w:t>的满意度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60" w:lineRule="exact"/>
        <w:ind w:left="630"/>
        <w:textAlignment w:val="auto"/>
        <w:rPr>
          <w:rFonts w:hint="eastAsia" w:ascii="楷体_GB2312" w:hAnsi="楷体_GB2312" w:eastAsia="楷体_GB2312" w:cs="楷体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2.部门绩效评价结果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本部门按要求对2019年部门整体支出绩效评价情况开展自评，《壤塘县人民检察院2019年部门整体支出绩效评价报告》见附件（附件1）。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本部门自行组织对司法救助金开展了绩效评价，《壤塘县人民检察院2019年司法救助金</w:t>
      </w:r>
      <w:r>
        <w:rPr>
          <w:rFonts w:hint="eastAsia" w:ascii="仿宋_GB2312" w:hAnsi="Calibri" w:eastAsia="仿宋_GB2312" w:cs="仿宋"/>
          <w:color w:val="000000"/>
          <w:kern w:val="0"/>
          <w:sz w:val="32"/>
          <w:szCs w:val="32"/>
          <w:lang w:val="zh-CN" w:eastAsia="zh-CN" w:bidi="ar-SA"/>
        </w:rPr>
        <w:t>绩效评价报告</w:t>
      </w:r>
      <w:r>
        <w:rPr>
          <w:rFonts w:hint="eastAsia" w:ascii="仿宋_GB2312" w:hAnsi="Calibri" w:eastAsia="仿宋_GB2312" w:cs="仿宋"/>
          <w:color w:val="000000"/>
          <w:kern w:val="0"/>
          <w:sz w:val="32"/>
          <w:szCs w:val="32"/>
          <w:lang w:val="en-US" w:eastAsia="zh-CN" w:bidi="ar-SA"/>
        </w:rPr>
        <w:t>》见附件（附件2）。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pageBreakBefore w:val="0"/>
        <w:numPr>
          <w:ilvl w:val="0"/>
          <w:numId w:val="3"/>
        </w:numPr>
        <w:kinsoku/>
        <w:wordWrap/>
        <w:overflowPunct/>
        <w:topLinePunct w:val="0"/>
        <w:bidi w:val="0"/>
        <w:spacing w:line="560" w:lineRule="exact"/>
        <w:ind w:firstLine="660" w:firstLineChars="150"/>
        <w:jc w:val="center"/>
        <w:textAlignment w:val="auto"/>
        <w:outlineLvl w:val="0"/>
        <w:rPr>
          <w:rFonts w:ascii="宋体"/>
          <w:b/>
          <w:color w:val="000000"/>
          <w:sz w:val="44"/>
          <w:szCs w:val="44"/>
        </w:rPr>
      </w:pPr>
      <w:bookmarkStart w:id="52" w:name="_Toc15396613"/>
      <w:bookmarkStart w:id="53" w:name="_Toc15377225"/>
      <w:r>
        <w:rPr>
          <w:rFonts w:hint="eastAsia" w:ascii="黑体" w:hAnsi="黑体" w:eastAsia="黑体"/>
          <w:color w:val="000000"/>
          <w:sz w:val="44"/>
          <w:szCs w:val="44"/>
        </w:rPr>
        <w:t>名</w:t>
      </w:r>
      <w:r>
        <w:rPr>
          <w:rStyle w:val="25"/>
          <w:rFonts w:hint="eastAsia" w:ascii="黑体" w:hAnsi="黑体" w:eastAsia="黑体"/>
          <w:b w:val="0"/>
        </w:rPr>
        <w:t>词解释</w:t>
      </w:r>
      <w:bookmarkEnd w:id="52"/>
      <w:bookmarkEnd w:id="53"/>
    </w:p>
    <w:p>
      <w:pPr>
        <w:pStyle w:val="12"/>
        <w:keepNext w:val="0"/>
        <w:keepLines w:val="0"/>
        <w:pageBreakBefore w:val="0"/>
        <w:widowControl/>
        <w:numPr>
          <w:numId w:val="0"/>
        </w:numPr>
        <w:suppressLineNumbers w:val="0"/>
        <w:kinsoku/>
        <w:wordWrap/>
        <w:overflowPunct/>
        <w:topLinePunct w:val="0"/>
        <w:bidi w:val="0"/>
        <w:spacing w:before="300" w:beforeAutospacing="0" w:after="0" w:afterAutospacing="0" w:line="560" w:lineRule="exact"/>
        <w:ind w:right="0" w:righ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财政拨款收入：指由财政拨款形成的部门收入。按现行管理制度,部门预算中反映的财政拨款仅包括一般公共预算拨款和政府性基金预算拨款。</w:t>
      </w:r>
      <w:r>
        <w:rPr>
          <w:rFonts w:hint="eastAsia" w:ascii="仿宋_GB2312" w:eastAsia="仿宋_GB2312"/>
          <w:sz w:val="32"/>
          <w:szCs w:val="32"/>
          <w:lang w:val="en-US" w:eastAsia="zh-CN"/>
        </w:rPr>
        <w:t xml:space="preserve"> </w:t>
      </w:r>
    </w:p>
    <w:p>
      <w:pPr>
        <w:pStyle w:val="23"/>
        <w:pageBreakBefore w:val="0"/>
        <w:kinsoku/>
        <w:wordWrap/>
        <w:overflowPunct/>
        <w:topLinePunct w:val="0"/>
        <w:bidi w:val="0"/>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2.其他收入：指除“财政拨款收入”“事业收入”</w:t>
      </w:r>
      <w:r>
        <w:rPr>
          <w:rFonts w:hint="eastAsia" w:ascii="仿宋_GB2312" w:eastAsia="仿宋_GB2312"/>
          <w:sz w:val="32"/>
          <w:szCs w:val="32"/>
        </w:rPr>
        <w:t>“事业单位经营收入”等以外的收入,主要是所属行政事业单位按规定动用的售房收入、存款利息收入等。</w:t>
      </w:r>
    </w:p>
    <w:p>
      <w:pPr>
        <w:pStyle w:val="23"/>
        <w:pageBreakBefore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pStyle w:val="23"/>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rPr>
        <w:t>年末结转和结余：指单位按有关规定结转到下年或以后年</w:t>
      </w:r>
      <w:r>
        <w:rPr>
          <w:rFonts w:hint="eastAsia" w:ascii="仿宋_GB2312" w:hAnsi="Times New Roman" w:eastAsia="仿宋_GB2312" w:cs="Times New Roman"/>
          <w:color w:val="auto"/>
          <w:kern w:val="0"/>
          <w:sz w:val="32"/>
          <w:szCs w:val="32"/>
          <w:lang w:val="en-US" w:eastAsia="zh-CN" w:bidi="ar"/>
        </w:rPr>
        <w:t>度继续使用的资金。</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5</w:t>
      </w:r>
      <w:r>
        <w:rPr>
          <w:rFonts w:hint="eastAsia" w:ascii="仿宋_GB2312" w:hAnsi="Times New Roman" w:eastAsia="仿宋_GB2312" w:cs="Times New Roman"/>
          <w:color w:val="auto"/>
          <w:kern w:val="0"/>
          <w:sz w:val="32"/>
          <w:szCs w:val="32"/>
          <w:lang w:val="en-US" w:eastAsia="zh-CN" w:bidi="ar"/>
        </w:rPr>
        <w:t>.公共安全支出（204）检察（04）行政运行（01）：指</w:t>
      </w:r>
      <w:r>
        <w:rPr>
          <w:rFonts w:hint="eastAsia" w:ascii="仿宋_GB2312" w:eastAsia="仿宋_GB2312" w:cs="Times New Roman"/>
          <w:color w:val="auto"/>
          <w:kern w:val="0"/>
          <w:sz w:val="32"/>
          <w:szCs w:val="32"/>
          <w:lang w:val="en-US" w:eastAsia="zh-CN" w:bidi="ar"/>
        </w:rPr>
        <w:t>行政单位（包括实行公务员管理的事业单位）的基本支出</w:t>
      </w:r>
      <w:r>
        <w:rPr>
          <w:rFonts w:hint="eastAsia" w:ascii="仿宋_GB2312" w:hAnsi="Times New Roman" w:eastAsia="仿宋_GB2312" w:cs="Times New Roman"/>
          <w:color w:val="auto"/>
          <w:kern w:val="0"/>
          <w:sz w:val="32"/>
          <w:szCs w:val="32"/>
          <w:lang w:val="en-US" w:eastAsia="zh-CN" w:bidi="ar"/>
        </w:rPr>
        <w:t>。</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6</w:t>
      </w:r>
      <w:r>
        <w:rPr>
          <w:rFonts w:hint="eastAsia" w:ascii="仿宋_GB2312" w:hAnsi="Times New Roman" w:eastAsia="仿宋_GB2312" w:cs="Times New Roman"/>
          <w:color w:val="auto"/>
          <w:kern w:val="0"/>
          <w:sz w:val="32"/>
          <w:szCs w:val="32"/>
          <w:lang w:val="en-US" w:eastAsia="zh-CN" w:bidi="ar"/>
        </w:rPr>
        <w:t>.公共安全支出（204）检察（04）一般行政管理事务（02）：指</w:t>
      </w:r>
      <w:r>
        <w:rPr>
          <w:rFonts w:hint="eastAsia" w:ascii="仿宋_GB2312" w:eastAsia="仿宋_GB2312" w:cs="Times New Roman"/>
          <w:color w:val="auto"/>
          <w:kern w:val="0"/>
          <w:sz w:val="32"/>
          <w:szCs w:val="32"/>
          <w:lang w:val="en-US" w:eastAsia="zh-CN" w:bidi="ar"/>
        </w:rPr>
        <w:t>行政单位（包括实行公务员管理的事业单位）未独立设置项级科目的其他项目支出</w:t>
      </w:r>
      <w:r>
        <w:rPr>
          <w:rFonts w:hint="eastAsia" w:ascii="仿宋_GB2312" w:hAnsi="Times New Roman" w:eastAsia="仿宋_GB2312" w:cs="Times New Roman"/>
          <w:color w:val="auto"/>
          <w:kern w:val="0"/>
          <w:sz w:val="32"/>
          <w:szCs w:val="32"/>
          <w:lang w:val="en-US" w:eastAsia="zh-CN" w:bidi="ar"/>
        </w:rPr>
        <w:t>。</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7</w:t>
      </w:r>
      <w:r>
        <w:rPr>
          <w:rFonts w:hint="eastAsia" w:ascii="仿宋_GB2312" w:hAnsi="Times New Roman" w:eastAsia="仿宋_GB2312" w:cs="Times New Roman"/>
          <w:color w:val="auto"/>
          <w:kern w:val="0"/>
          <w:sz w:val="32"/>
          <w:szCs w:val="32"/>
          <w:lang w:val="en-US" w:eastAsia="zh-CN" w:bidi="ar"/>
        </w:rPr>
        <w:t>.公共安全支出（204）检察（04）其他检察支出（99）：指</w:t>
      </w:r>
      <w:r>
        <w:rPr>
          <w:rFonts w:hint="eastAsia" w:ascii="仿宋_GB2312" w:eastAsia="仿宋_GB2312" w:cs="Times New Roman"/>
          <w:color w:val="auto"/>
          <w:kern w:val="0"/>
          <w:sz w:val="32"/>
          <w:szCs w:val="32"/>
          <w:lang w:val="en-US" w:eastAsia="zh-CN" w:bidi="ar"/>
        </w:rPr>
        <w:t>其他用于检察方面的支出</w:t>
      </w:r>
      <w:r>
        <w:rPr>
          <w:rFonts w:hint="eastAsia" w:ascii="仿宋_GB2312" w:hAnsi="Times New Roman" w:eastAsia="仿宋_GB2312" w:cs="Times New Roman"/>
          <w:color w:val="auto"/>
          <w:kern w:val="0"/>
          <w:sz w:val="32"/>
          <w:szCs w:val="32"/>
          <w:lang w:val="en-US" w:eastAsia="zh-CN" w:bidi="ar"/>
        </w:rPr>
        <w:t>。</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8</w:t>
      </w:r>
      <w:r>
        <w:rPr>
          <w:rFonts w:hint="eastAsia" w:ascii="仿宋_GB2312" w:hAnsi="Times New Roman" w:eastAsia="仿宋_GB2312" w:cs="Times New Roman"/>
          <w:color w:val="auto"/>
          <w:kern w:val="0"/>
          <w:sz w:val="32"/>
          <w:szCs w:val="32"/>
          <w:lang w:val="en-US" w:eastAsia="zh-CN" w:bidi="ar"/>
        </w:rPr>
        <w:t>.公共安全支出（204）司法（06）法律援助（07）：指</w:t>
      </w:r>
      <w:r>
        <w:rPr>
          <w:rFonts w:hint="eastAsia" w:ascii="仿宋_GB2312" w:eastAsia="仿宋_GB2312" w:cs="Times New Roman"/>
          <w:color w:val="auto"/>
          <w:kern w:val="0"/>
          <w:sz w:val="32"/>
          <w:szCs w:val="32"/>
          <w:lang w:val="en-US" w:eastAsia="zh-CN" w:bidi="ar"/>
        </w:rPr>
        <w:t>各级法律援助机构用于开展法律援助工作的支出</w:t>
      </w:r>
      <w:r>
        <w:rPr>
          <w:rFonts w:hint="eastAsia" w:ascii="仿宋_GB2312" w:hAnsi="Times New Roman" w:eastAsia="仿宋_GB2312" w:cs="Times New Roman"/>
          <w:color w:val="auto"/>
          <w:kern w:val="0"/>
          <w:sz w:val="32"/>
          <w:szCs w:val="32"/>
          <w:lang w:val="en-US" w:eastAsia="zh-CN" w:bidi="ar"/>
        </w:rPr>
        <w:t>。</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9</w:t>
      </w:r>
      <w:r>
        <w:rPr>
          <w:rFonts w:hint="eastAsia" w:ascii="仿宋_GB2312" w:hAnsi="Times New Roman" w:eastAsia="仿宋_GB2312" w:cs="Times New Roman"/>
          <w:color w:val="auto"/>
          <w:kern w:val="0"/>
          <w:sz w:val="32"/>
          <w:szCs w:val="32"/>
          <w:lang w:val="en-US" w:eastAsia="zh-CN" w:bidi="ar"/>
        </w:rPr>
        <w:t>.社会保障和就业支出（208）行政事业单位离退休（05）机关事业单位基本养老保险缴费支出（05）：指</w:t>
      </w:r>
      <w:r>
        <w:rPr>
          <w:rFonts w:hint="eastAsia" w:ascii="仿宋_GB2312" w:eastAsia="仿宋_GB2312" w:cs="Times New Roman"/>
          <w:color w:val="auto"/>
          <w:kern w:val="0"/>
          <w:sz w:val="32"/>
          <w:szCs w:val="32"/>
          <w:lang w:val="en-US" w:eastAsia="zh-CN" w:bidi="ar"/>
        </w:rPr>
        <w:t>机关事业单位实施养老保险制度由单位缴纳的基本养老保险支出</w:t>
      </w:r>
      <w:r>
        <w:rPr>
          <w:rFonts w:hint="eastAsia" w:ascii="仿宋_GB2312" w:hAnsi="Times New Roman" w:eastAsia="仿宋_GB2312" w:cs="Times New Roman"/>
          <w:color w:val="auto"/>
          <w:kern w:val="0"/>
          <w:sz w:val="32"/>
          <w:szCs w:val="32"/>
          <w:lang w:val="en-US" w:eastAsia="zh-CN" w:bidi="ar"/>
        </w:rPr>
        <w:t>。</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10</w:t>
      </w:r>
      <w:r>
        <w:rPr>
          <w:rFonts w:hint="eastAsia" w:ascii="仿宋_GB2312" w:hAnsi="Times New Roman" w:eastAsia="仿宋_GB2312" w:cs="Times New Roman"/>
          <w:color w:val="auto"/>
          <w:kern w:val="0"/>
          <w:sz w:val="32"/>
          <w:szCs w:val="32"/>
          <w:lang w:val="en-US" w:eastAsia="zh-CN" w:bidi="ar"/>
        </w:rPr>
        <w:t>.社会保障和就业支出（208）行政事业单位离退休（05）机关事业单位职业年金缴费支出（06）：指</w:t>
      </w:r>
      <w:r>
        <w:rPr>
          <w:rFonts w:hint="eastAsia" w:ascii="仿宋_GB2312" w:eastAsia="仿宋_GB2312" w:cs="Times New Roman"/>
          <w:color w:val="auto"/>
          <w:kern w:val="0"/>
          <w:sz w:val="32"/>
          <w:szCs w:val="32"/>
          <w:lang w:val="en-US" w:eastAsia="zh-CN" w:bidi="ar"/>
        </w:rPr>
        <w:t>机关事业单位实施养老保险制度由单位实际缴纳的职业年金支出</w:t>
      </w:r>
      <w:r>
        <w:rPr>
          <w:rFonts w:hint="eastAsia" w:ascii="仿宋_GB2312" w:hAnsi="Times New Roman" w:eastAsia="仿宋_GB2312" w:cs="Times New Roman"/>
          <w:color w:val="auto"/>
          <w:kern w:val="0"/>
          <w:sz w:val="32"/>
          <w:szCs w:val="32"/>
          <w:lang w:val="en-US" w:eastAsia="zh-CN" w:bidi="ar"/>
        </w:rPr>
        <w:t>。</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11</w:t>
      </w:r>
      <w:r>
        <w:rPr>
          <w:rFonts w:hint="eastAsia" w:ascii="仿宋_GB2312" w:hAnsi="Times New Roman" w:eastAsia="仿宋_GB2312" w:cs="Times New Roman"/>
          <w:color w:val="auto"/>
          <w:kern w:val="0"/>
          <w:sz w:val="32"/>
          <w:szCs w:val="32"/>
          <w:lang w:val="en-US" w:eastAsia="zh-CN" w:bidi="ar"/>
        </w:rPr>
        <w:t>.</w:t>
      </w:r>
      <w:r>
        <w:rPr>
          <w:rFonts w:hint="eastAsia" w:ascii="仿宋_GB2312" w:eastAsia="仿宋_GB2312" w:cs="Times New Roman"/>
          <w:color w:val="auto"/>
          <w:kern w:val="0"/>
          <w:sz w:val="32"/>
          <w:szCs w:val="32"/>
          <w:lang w:val="en-US" w:eastAsia="zh-CN" w:bidi="ar"/>
        </w:rPr>
        <w:t>卫生健康</w:t>
      </w:r>
      <w:r>
        <w:rPr>
          <w:rFonts w:hint="eastAsia" w:ascii="仿宋_GB2312" w:hAnsi="Times New Roman" w:eastAsia="仿宋_GB2312" w:cs="Times New Roman"/>
          <w:color w:val="auto"/>
          <w:kern w:val="0"/>
          <w:sz w:val="32"/>
          <w:szCs w:val="32"/>
          <w:lang w:val="en-US" w:eastAsia="zh-CN" w:bidi="ar"/>
        </w:rPr>
        <w:t>支出（210）行政事业单位医疗（11）行政单位医疗（01）：指</w:t>
      </w:r>
      <w:r>
        <w:rPr>
          <w:rFonts w:hint="eastAsia" w:ascii="仿宋_GB2312" w:eastAsia="仿宋_GB2312" w:cs="Times New Roman"/>
          <w:color w:val="auto"/>
          <w:kern w:val="0"/>
          <w:sz w:val="32"/>
          <w:szCs w:val="32"/>
          <w:lang w:val="en-US" w:eastAsia="zh-CN" w:bidi="ar"/>
        </w:rPr>
        <w:t>财政部门安排的行政单位（包括实行公务员管理的事业单位）基本医疗保险缴费经费，未参加医疗保险的行政单位的公费医疗经费，按国家规定享受离休人员、红军老战士待遇的医疗经费</w:t>
      </w:r>
      <w:r>
        <w:rPr>
          <w:rFonts w:hint="eastAsia" w:ascii="仿宋_GB2312" w:hAnsi="Times New Roman" w:eastAsia="仿宋_GB2312" w:cs="Times New Roman"/>
          <w:color w:val="auto"/>
          <w:kern w:val="0"/>
          <w:sz w:val="32"/>
          <w:szCs w:val="32"/>
          <w:lang w:val="en-US" w:eastAsia="zh-CN" w:bidi="ar"/>
        </w:rPr>
        <w:t>。</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hAnsi="Times New Roman" w:eastAsia="仿宋_GB2312" w:cs="Times New Roman"/>
          <w:color w:val="auto"/>
          <w:kern w:val="0"/>
          <w:sz w:val="32"/>
          <w:szCs w:val="32"/>
          <w:lang w:val="en-US" w:eastAsia="zh-CN" w:bidi="ar"/>
        </w:rPr>
        <w:t>1</w:t>
      </w:r>
      <w:r>
        <w:rPr>
          <w:rFonts w:hint="eastAsia" w:ascii="仿宋_GB2312" w:eastAsia="仿宋_GB2312" w:cs="Times New Roman"/>
          <w:color w:val="auto"/>
          <w:kern w:val="0"/>
          <w:sz w:val="32"/>
          <w:szCs w:val="32"/>
          <w:lang w:val="en-US" w:eastAsia="zh-CN" w:bidi="ar"/>
        </w:rPr>
        <w:t>2</w:t>
      </w:r>
      <w:r>
        <w:rPr>
          <w:rFonts w:hint="eastAsia" w:ascii="仿宋_GB2312" w:hAnsi="Times New Roman" w:eastAsia="仿宋_GB2312" w:cs="Times New Roman"/>
          <w:color w:val="auto"/>
          <w:kern w:val="0"/>
          <w:sz w:val="32"/>
          <w:szCs w:val="32"/>
          <w:lang w:val="en-US" w:eastAsia="zh-CN" w:bidi="ar"/>
        </w:rPr>
        <w:t>.住房保障支出（221）住房改革支出（02）住房公积金（01）：指</w:t>
      </w:r>
      <w:r>
        <w:rPr>
          <w:rFonts w:hint="eastAsia" w:ascii="仿宋_GB2312" w:eastAsia="仿宋_GB2312" w:cs="Times New Roman"/>
          <w:color w:val="auto"/>
          <w:kern w:val="0"/>
          <w:sz w:val="32"/>
          <w:szCs w:val="32"/>
          <w:lang w:val="en-US" w:eastAsia="zh-CN" w:bidi="ar"/>
        </w:rPr>
        <w:t>行政事业单位按人力资源和社会保障部、财政部规定的基本工资、津贴补贴以及规定比例为职工缴纳的住房公积金</w:t>
      </w:r>
      <w:r>
        <w:rPr>
          <w:rFonts w:hint="eastAsia" w:ascii="仿宋_GB2312" w:hAnsi="Times New Roman" w:eastAsia="仿宋_GB2312" w:cs="Times New Roman"/>
          <w:color w:val="auto"/>
          <w:kern w:val="0"/>
          <w:sz w:val="32"/>
          <w:szCs w:val="32"/>
          <w:lang w:val="en-US" w:eastAsia="zh-CN" w:bidi="ar"/>
        </w:rPr>
        <w:t>。</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13</w:t>
      </w:r>
      <w:r>
        <w:rPr>
          <w:rFonts w:hint="eastAsia" w:ascii="仿宋_GB2312" w:hAnsi="Times New Roman" w:eastAsia="仿宋_GB2312" w:cs="Times New Roman"/>
          <w:color w:val="auto"/>
          <w:kern w:val="0"/>
          <w:sz w:val="32"/>
          <w:szCs w:val="32"/>
          <w:lang w:val="en-US" w:eastAsia="zh-CN" w:bidi="ar"/>
        </w:rPr>
        <w:t>.基本支出：指为保障机构正常运转、完成日常工作任务而发生的人员支出和公用支出。</w:t>
      </w:r>
    </w:p>
    <w:p>
      <w:pPr>
        <w:pageBreakBefore w:val="0"/>
        <w:kinsoku/>
        <w:wordWrap/>
        <w:overflowPunct/>
        <w:topLinePunct w:val="0"/>
        <w:bidi w:val="0"/>
        <w:spacing w:line="560" w:lineRule="exact"/>
        <w:ind w:firstLine="640" w:firstLineChars="200"/>
        <w:textAlignment w:val="auto"/>
        <w:rPr>
          <w:rFonts w:hint="eastAsia" w:ascii="仿宋_GB2312" w:hAnsi="Times New Roman" w:eastAsia="仿宋_GB2312" w:cs="Times New Roman"/>
          <w:color w:val="auto"/>
          <w:kern w:val="0"/>
          <w:sz w:val="32"/>
          <w:szCs w:val="32"/>
          <w:lang w:val="en-US" w:eastAsia="zh-CN" w:bidi="ar"/>
        </w:rPr>
      </w:pPr>
      <w:r>
        <w:rPr>
          <w:rFonts w:hint="eastAsia" w:ascii="仿宋_GB2312" w:eastAsia="仿宋_GB2312" w:cs="Times New Roman"/>
          <w:color w:val="auto"/>
          <w:kern w:val="0"/>
          <w:sz w:val="32"/>
          <w:szCs w:val="32"/>
          <w:lang w:val="en-US" w:eastAsia="zh-CN" w:bidi="ar"/>
        </w:rPr>
        <w:t>14</w:t>
      </w:r>
      <w:r>
        <w:rPr>
          <w:rFonts w:hint="eastAsia" w:ascii="仿宋_GB2312" w:hAnsi="Times New Roman" w:eastAsia="仿宋_GB2312" w:cs="Times New Roman"/>
          <w:color w:val="auto"/>
          <w:kern w:val="0"/>
          <w:sz w:val="32"/>
          <w:szCs w:val="32"/>
          <w:lang w:val="en-US" w:eastAsia="zh-CN" w:bidi="ar"/>
        </w:rPr>
        <w:t>.项目支出：指在基本支出之外为完成特定行政任务和事业发展目标所发生的支出。</w:t>
      </w:r>
    </w:p>
    <w:p>
      <w:pPr>
        <w:pStyle w:val="23"/>
        <w:pageBreakBefore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pageBreakBefore w:val="0"/>
        <w:kinsoku/>
        <w:wordWrap/>
        <w:overflowPunct/>
        <w:topLinePunct w:val="0"/>
        <w:bidi w:val="0"/>
        <w:spacing w:line="560" w:lineRule="exact"/>
        <w:ind w:firstLine="640" w:firstLineChars="200"/>
        <w:textAlignment w:val="auto"/>
        <w:rPr>
          <w:rFonts w:ascii="仿宋_GB2312" w:eastAsia="仿宋_GB2312" w:cs="黑体"/>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pageBreakBefore w:val="0"/>
        <w:kinsoku/>
        <w:wordWrap/>
        <w:overflowPunct/>
        <w:topLinePunct w:val="0"/>
        <w:bidi w:val="0"/>
        <w:spacing w:line="560" w:lineRule="exact"/>
        <w:ind w:firstLine="640" w:firstLineChars="200"/>
        <w:textAlignment w:val="auto"/>
        <w:rPr>
          <w:rFonts w:ascii="仿宋_GB2312" w:eastAsia="仿宋_GB2312" w:cs="黑体"/>
          <w:sz w:val="32"/>
          <w:szCs w:val="32"/>
        </w:rPr>
      </w:pPr>
    </w:p>
    <w:p>
      <w:pPr>
        <w:pageBreakBefore w:val="0"/>
        <w:kinsoku/>
        <w:wordWrap/>
        <w:overflowPunct/>
        <w:topLinePunct w:val="0"/>
        <w:bidi w:val="0"/>
        <w:spacing w:line="560" w:lineRule="exact"/>
        <w:jc w:val="center"/>
        <w:textAlignment w:val="auto"/>
        <w:outlineLvl w:val="0"/>
        <w:rPr>
          <w:rStyle w:val="25"/>
          <w:rFonts w:ascii="黑体" w:hAnsi="黑体" w:eastAsia="黑体"/>
          <w:b w:val="0"/>
        </w:rPr>
      </w:pPr>
      <w:bookmarkStart w:id="54" w:name="_Toc15377226"/>
      <w:r>
        <w:rPr>
          <w:rFonts w:ascii="宋体"/>
          <w:b/>
          <w:color w:val="000000"/>
          <w:sz w:val="44"/>
          <w:szCs w:val="44"/>
        </w:rPr>
        <w:br w:type="page"/>
      </w:r>
      <w:bookmarkStart w:id="55"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5"/>
    </w:p>
    <w:p>
      <w:pPr>
        <w:pageBreakBefore w:val="0"/>
        <w:kinsoku/>
        <w:wordWrap/>
        <w:overflowPunct/>
        <w:topLinePunct w:val="0"/>
        <w:bidi w:val="0"/>
        <w:spacing w:line="560" w:lineRule="exact"/>
        <w:jc w:val="left"/>
        <w:textAlignment w:val="auto"/>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pageBreakBefore w:val="0"/>
        <w:kinsoku/>
        <w:wordWrap/>
        <w:overflowPunct/>
        <w:topLinePunct w:val="0"/>
        <w:bidi w:val="0"/>
        <w:spacing w:line="560" w:lineRule="exact"/>
        <w:jc w:val="center"/>
        <w:textAlignment w:val="auto"/>
        <w:rPr>
          <w:rFonts w:ascii="方正小标宋简体" w:hAnsi="方正小标宋简体" w:eastAsia="方正小标宋简体" w:cs="方正小标宋简体"/>
          <w:sz w:val="44"/>
          <w:szCs w:val="44"/>
        </w:rPr>
      </w:pPr>
    </w:p>
    <w:p>
      <w:pPr>
        <w:pageBreakBefore w:val="0"/>
        <w:kinsoku/>
        <w:wordWrap/>
        <w:overflowPunct/>
        <w:topLinePunct w:val="0"/>
        <w:bidi w:val="0"/>
        <w:spacing w:line="560" w:lineRule="exact"/>
        <w:jc w:val="center"/>
        <w:textAlignment w:val="auto"/>
        <w:rPr>
          <w:rFonts w:hint="eastAsia" w:ascii="方正小标宋简体" w:hAnsi="宋体" w:eastAsia="方正小标宋简体"/>
          <w:color w:val="000000"/>
          <w:kern w:val="0"/>
          <w:sz w:val="44"/>
          <w:szCs w:val="44"/>
          <w:lang w:val="en-US" w:eastAsia="zh-CN"/>
        </w:rPr>
      </w:pPr>
      <w:r>
        <w:rPr>
          <w:rFonts w:hint="eastAsia" w:ascii="方正小标宋简体" w:hAnsi="宋体" w:eastAsia="方正小标宋简体"/>
          <w:color w:val="000000"/>
          <w:kern w:val="0"/>
          <w:sz w:val="44"/>
          <w:szCs w:val="44"/>
          <w:lang w:val="en-US" w:eastAsia="zh-CN"/>
        </w:rPr>
        <w:t>壤塘县人民检察院</w:t>
      </w:r>
    </w:p>
    <w:p>
      <w:pPr>
        <w:pageBreakBefore w:val="0"/>
        <w:kinsoku/>
        <w:wordWrap/>
        <w:overflowPunct/>
        <w:topLinePunct w:val="0"/>
        <w:bidi w:val="0"/>
        <w:spacing w:line="560" w:lineRule="exact"/>
        <w:jc w:val="center"/>
        <w:textAlignment w:val="auto"/>
        <w:rPr>
          <w:rFonts w:ascii="黑体" w:hAnsi="宋体" w:eastAsia="黑体" w:cs="宋体"/>
          <w:color w:val="000000"/>
          <w:kern w:val="0"/>
          <w:sz w:val="44"/>
          <w:szCs w:val="44"/>
          <w:shd w:val="clear" w:color="auto" w:fill="FFFFFF"/>
        </w:rPr>
      </w:pPr>
      <w:r>
        <w:rPr>
          <w:rFonts w:ascii="方正小标宋简体" w:hAnsi="宋体" w:eastAsia="方正小标宋简体"/>
          <w:color w:val="000000"/>
          <w:kern w:val="0"/>
          <w:sz w:val="44"/>
          <w:szCs w:val="44"/>
        </w:rPr>
        <w:t>2019年部门</w:t>
      </w:r>
      <w:r>
        <w:rPr>
          <w:rFonts w:hint="eastAsia" w:ascii="方正小标宋简体" w:hAnsi="宋体" w:eastAsia="方正小标宋简体"/>
          <w:color w:val="000000"/>
          <w:kern w:val="0"/>
          <w:sz w:val="44"/>
          <w:szCs w:val="44"/>
          <w:lang w:val="zh-CN"/>
        </w:rPr>
        <w:t>整体支出绩效评价报告</w:t>
      </w:r>
    </w:p>
    <w:p>
      <w:pPr>
        <w:pageBreakBefore w:val="0"/>
        <w:widowControl/>
        <w:kinsoku/>
        <w:wordWrap/>
        <w:overflowPunct/>
        <w:topLinePunct w:val="0"/>
        <w:bidi w:val="0"/>
        <w:adjustRightInd w:val="0"/>
        <w:snapToGrid w:val="0"/>
        <w:spacing w:line="560" w:lineRule="exact"/>
        <w:ind w:firstLine="640" w:firstLineChars="200"/>
        <w:contextualSpacing/>
        <w:jc w:val="left"/>
        <w:textAlignment w:val="auto"/>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单位概况</w:t>
      </w:r>
    </w:p>
    <w:p>
      <w:pPr>
        <w:pageBreakBefore w:val="0"/>
        <w:widowControl/>
        <w:kinsoku/>
        <w:wordWrap/>
        <w:overflowPunct/>
        <w:topLinePunct w:val="0"/>
        <w:bidi w:val="0"/>
        <w:adjustRightInd w:val="0"/>
        <w:snapToGrid w:val="0"/>
        <w:spacing w:line="560" w:lineRule="exact"/>
        <w:ind w:firstLine="643" w:firstLineChars="200"/>
        <w:contextualSpacing/>
        <w:jc w:val="left"/>
        <w:textAlignment w:val="auto"/>
        <w:rPr>
          <w:rFonts w:hint="eastAsia" w:ascii="仿宋_GB2312" w:hAnsi="宋体" w:eastAsia="仿宋_GB2312" w:cs="宋体"/>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（一）机构组成</w:t>
      </w:r>
    </w:p>
    <w:p>
      <w:pPr>
        <w:pageBreakBefore w:val="0"/>
        <w:widowControl/>
        <w:kinsoku/>
        <w:wordWrap/>
        <w:overflowPunct/>
        <w:topLinePunct w:val="0"/>
        <w:bidi w:val="0"/>
        <w:adjustRightInd w:val="0"/>
        <w:snapToGrid w:val="0"/>
        <w:spacing w:line="560" w:lineRule="exact"/>
        <w:ind w:left="638" w:leftChars="304" w:firstLine="0" w:firstLineChars="0"/>
        <w:contextualSpacing/>
        <w:jc w:val="left"/>
        <w:textAlignment w:val="auto"/>
        <w:rPr>
          <w:rFonts w:hint="eastAsia" w:ascii="楷体_GB2312" w:hAnsi="楷体_GB2312" w:eastAsia="楷体_GB2312" w:cs="楷体_GB2312"/>
          <w:b/>
          <w:bCs/>
          <w:color w:val="000000"/>
          <w:kern w:val="0"/>
          <w:sz w:val="32"/>
          <w:szCs w:val="32"/>
          <w:shd w:val="clear" w:color="auto" w:fill="FFFFFF"/>
          <w:lang w:val="zh-CN"/>
        </w:rPr>
      </w:pPr>
      <w:r>
        <w:rPr>
          <w:rFonts w:hint="eastAsia" w:ascii="仿宋_GB2312" w:hAnsi="仿宋_GB2312" w:eastAsia="仿宋_GB2312" w:cs="仿宋_GB2312"/>
          <w:bCs/>
          <w:color w:val="000000"/>
          <w:kern w:val="0"/>
          <w:sz w:val="32"/>
          <w:szCs w:val="32"/>
          <w:lang w:val="en-US" w:eastAsia="zh-CN" w:bidi="ar-SA"/>
        </w:rPr>
        <w:t>壤塘县人民检察院属一级单位，无下属二级预算单位。</w:t>
      </w:r>
      <w:r>
        <w:rPr>
          <w:rFonts w:hint="eastAsia" w:ascii="楷体_GB2312" w:hAnsi="楷体_GB2312" w:eastAsia="楷体_GB2312" w:cs="楷体_GB2312"/>
          <w:b/>
          <w:bCs/>
          <w:color w:val="000000"/>
          <w:kern w:val="0"/>
          <w:sz w:val="32"/>
          <w:szCs w:val="32"/>
          <w:shd w:val="clear" w:color="auto" w:fill="FFFFFF"/>
          <w:lang w:val="zh-CN"/>
        </w:rPr>
        <w:t>（二）机构职能</w:t>
      </w:r>
    </w:p>
    <w:p>
      <w:pPr>
        <w:pStyle w:val="2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w:t>
      </w:r>
      <w:r>
        <w:rPr>
          <w:rFonts w:hint="eastAsia" w:ascii="仿宋_GB2312" w:eastAsia="仿宋_GB2312"/>
          <w:color w:val="000000"/>
          <w:sz w:val="32"/>
          <w:szCs w:val="32"/>
        </w:rPr>
        <w:t>深入贯彻习近平新时代中国特色社会主义思想，深入贯彻党的路线方针政策和决策部署，统一检察队伍思想和行动，坚持党对检察工作的绝对领导，坚决维护党中央权威和集中统一领导。依法向</w:t>
      </w:r>
      <w:r>
        <w:rPr>
          <w:rFonts w:hint="eastAsia" w:ascii="仿宋_GB2312" w:eastAsia="仿宋_GB2312"/>
          <w:color w:val="000000"/>
          <w:sz w:val="32"/>
          <w:szCs w:val="32"/>
          <w:lang w:val="en-US" w:eastAsia="zh-CN"/>
        </w:rPr>
        <w:t>壤塘</w:t>
      </w:r>
      <w:r>
        <w:rPr>
          <w:rFonts w:hint="eastAsia" w:ascii="仿宋_GB2312" w:eastAsia="仿宋_GB2312"/>
          <w:color w:val="000000"/>
          <w:sz w:val="32"/>
          <w:szCs w:val="32"/>
        </w:rPr>
        <w:t>县人民代表大会及其常务委员会提出议案。按照上级检察机关确定的工作方针，研究制定</w:t>
      </w:r>
      <w:r>
        <w:rPr>
          <w:rFonts w:hint="eastAsia" w:ascii="仿宋_GB2312" w:eastAsia="仿宋_GB2312"/>
          <w:color w:val="000000"/>
          <w:sz w:val="32"/>
          <w:szCs w:val="32"/>
          <w:lang w:val="en-US" w:eastAsia="zh-CN"/>
        </w:rPr>
        <w:t>壤塘</w:t>
      </w:r>
      <w:r>
        <w:rPr>
          <w:rFonts w:hint="eastAsia" w:ascii="仿宋_GB2312" w:eastAsia="仿宋_GB2312"/>
          <w:color w:val="000000"/>
          <w:sz w:val="32"/>
          <w:szCs w:val="32"/>
        </w:rPr>
        <w:t>县人民检察院检察工作规划，部署检察工作任务。对刑事案件依法审查批准逮捕、决定逮捕、提起公诉。负责应由</w:t>
      </w:r>
      <w:r>
        <w:rPr>
          <w:rFonts w:hint="eastAsia" w:ascii="仿宋_GB2312" w:eastAsia="仿宋_GB2312"/>
          <w:color w:val="000000"/>
          <w:sz w:val="32"/>
          <w:szCs w:val="32"/>
          <w:lang w:val="en-US" w:eastAsia="zh-CN"/>
        </w:rPr>
        <w:t>壤塘</w:t>
      </w:r>
      <w:r>
        <w:rPr>
          <w:rFonts w:hint="eastAsia" w:ascii="仿宋_GB2312" w:eastAsia="仿宋_GB2312"/>
          <w:color w:val="000000"/>
          <w:sz w:val="32"/>
          <w:szCs w:val="32"/>
        </w:rPr>
        <w:t>县人民检察院承办的刑事、民事、行政诉讼活动及刑事、民事、行政判决和裁定等生效法律文书执行的法律监督工作。负责应由</w:t>
      </w:r>
      <w:r>
        <w:rPr>
          <w:rFonts w:hint="eastAsia" w:ascii="仿宋_GB2312" w:eastAsia="仿宋_GB2312"/>
          <w:color w:val="000000"/>
          <w:sz w:val="32"/>
          <w:szCs w:val="32"/>
          <w:lang w:val="en-US" w:eastAsia="zh-CN"/>
        </w:rPr>
        <w:t>壤塘</w:t>
      </w:r>
      <w:r>
        <w:rPr>
          <w:rFonts w:hint="eastAsia" w:ascii="仿宋_GB2312" w:eastAsia="仿宋_GB2312"/>
          <w:color w:val="000000"/>
          <w:sz w:val="32"/>
          <w:szCs w:val="32"/>
        </w:rPr>
        <w:t>县人民检察院承办的提起公益诉讼工作。负责应由</w:t>
      </w:r>
      <w:r>
        <w:rPr>
          <w:rFonts w:hint="eastAsia" w:ascii="仿宋_GB2312" w:eastAsia="仿宋_GB2312"/>
          <w:color w:val="000000"/>
          <w:sz w:val="32"/>
          <w:szCs w:val="32"/>
          <w:lang w:val="en-US" w:eastAsia="zh-CN"/>
        </w:rPr>
        <w:t>壤塘</w:t>
      </w:r>
      <w:r>
        <w:rPr>
          <w:rFonts w:hint="eastAsia" w:ascii="仿宋_GB2312" w:eastAsia="仿宋_GB2312"/>
          <w:color w:val="000000"/>
          <w:sz w:val="32"/>
          <w:szCs w:val="32"/>
        </w:rPr>
        <w:t>县人民检察院承办的对看守所等执法活动的法律监督工作。受理向</w:t>
      </w:r>
      <w:r>
        <w:rPr>
          <w:rFonts w:hint="eastAsia" w:ascii="仿宋_GB2312" w:eastAsia="仿宋_GB2312"/>
          <w:color w:val="000000"/>
          <w:sz w:val="32"/>
          <w:szCs w:val="32"/>
          <w:lang w:val="en-US" w:eastAsia="zh-CN"/>
        </w:rPr>
        <w:t>壤塘</w:t>
      </w:r>
      <w:r>
        <w:rPr>
          <w:rFonts w:hint="eastAsia" w:ascii="仿宋_GB2312" w:eastAsia="仿宋_GB2312"/>
          <w:color w:val="000000"/>
          <w:sz w:val="32"/>
          <w:szCs w:val="32"/>
        </w:rPr>
        <w:t>县人民检察院的控告申诉。开展检察机关的理论研究工作。负责</w:t>
      </w:r>
      <w:r>
        <w:rPr>
          <w:rFonts w:hint="eastAsia" w:ascii="仿宋_GB2312" w:eastAsia="仿宋_GB2312"/>
          <w:color w:val="000000"/>
          <w:sz w:val="32"/>
          <w:szCs w:val="32"/>
          <w:lang w:val="en-US" w:eastAsia="zh-CN"/>
        </w:rPr>
        <w:t>壤塘</w:t>
      </w:r>
      <w:r>
        <w:rPr>
          <w:rFonts w:hint="eastAsia" w:ascii="仿宋_GB2312" w:eastAsia="仿宋_GB2312"/>
          <w:color w:val="000000"/>
          <w:sz w:val="32"/>
          <w:szCs w:val="32"/>
        </w:rPr>
        <w:t>县人民检察院队伍建设和思想政治工作。依法管理检察官及其他检察人员的工作，协同地方主管部门管理人民检察院的机构设置及人员编制，制定相关人员管理办法，组织开展</w:t>
      </w:r>
      <w:r>
        <w:rPr>
          <w:rFonts w:hint="eastAsia" w:ascii="仿宋_GB2312" w:eastAsia="仿宋_GB2312"/>
          <w:color w:val="000000"/>
          <w:sz w:val="32"/>
          <w:szCs w:val="32"/>
          <w:lang w:val="en-US" w:eastAsia="zh-CN"/>
        </w:rPr>
        <w:t>壤塘</w:t>
      </w:r>
      <w:r>
        <w:rPr>
          <w:rFonts w:hint="eastAsia" w:ascii="仿宋_GB2312" w:eastAsia="仿宋_GB2312"/>
          <w:color w:val="000000"/>
          <w:sz w:val="32"/>
          <w:szCs w:val="32"/>
        </w:rPr>
        <w:t>县人民检察院教育培训工作。协同地方党委主管部门管理和考核除检察长和其他领导班子成员以外的检察机关工作人员。开展</w:t>
      </w:r>
      <w:r>
        <w:rPr>
          <w:rFonts w:hint="eastAsia" w:ascii="仿宋_GB2312" w:eastAsia="仿宋_GB2312"/>
          <w:color w:val="000000"/>
          <w:sz w:val="32"/>
          <w:szCs w:val="32"/>
          <w:lang w:val="en-US" w:eastAsia="zh-CN"/>
        </w:rPr>
        <w:t>壤塘</w:t>
      </w:r>
      <w:r>
        <w:rPr>
          <w:rFonts w:hint="eastAsia" w:ascii="仿宋_GB2312" w:eastAsia="仿宋_GB2312"/>
          <w:color w:val="000000"/>
          <w:sz w:val="32"/>
          <w:szCs w:val="32"/>
        </w:rPr>
        <w:t>县人民检察院的检务督察工作。开展</w:t>
      </w:r>
      <w:r>
        <w:rPr>
          <w:rFonts w:hint="eastAsia" w:ascii="仿宋_GB2312" w:eastAsia="仿宋_GB2312"/>
          <w:color w:val="000000"/>
          <w:sz w:val="32"/>
          <w:szCs w:val="32"/>
          <w:lang w:val="en-US" w:eastAsia="zh-CN"/>
        </w:rPr>
        <w:t>壤塘</w:t>
      </w:r>
      <w:r>
        <w:rPr>
          <w:rFonts w:hint="eastAsia" w:ascii="仿宋_GB2312" w:eastAsia="仿宋_GB2312"/>
          <w:color w:val="000000"/>
          <w:sz w:val="32"/>
          <w:szCs w:val="32"/>
        </w:rPr>
        <w:t>县人民检察院的财务装备、检察技术信息工作。负责其他应由</w:t>
      </w:r>
      <w:r>
        <w:rPr>
          <w:rFonts w:hint="eastAsia" w:ascii="仿宋_GB2312" w:eastAsia="仿宋_GB2312"/>
          <w:color w:val="000000"/>
          <w:sz w:val="32"/>
          <w:szCs w:val="32"/>
          <w:lang w:val="en-US" w:eastAsia="zh-CN"/>
        </w:rPr>
        <w:t>壤塘</w:t>
      </w:r>
      <w:r>
        <w:rPr>
          <w:rFonts w:hint="eastAsia" w:ascii="仿宋_GB2312" w:eastAsia="仿宋_GB2312"/>
          <w:color w:val="000000"/>
          <w:sz w:val="32"/>
          <w:szCs w:val="32"/>
        </w:rPr>
        <w:t>县人民检察院承办的事项。</w:t>
      </w:r>
    </w:p>
    <w:p>
      <w:pPr>
        <w:pageBreakBefore w:val="0"/>
        <w:widowControl/>
        <w:numPr>
          <w:ilvl w:val="0"/>
          <w:numId w:val="0"/>
        </w:numPr>
        <w:kinsoku/>
        <w:wordWrap/>
        <w:overflowPunct/>
        <w:topLinePunct w:val="0"/>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（三）人员概况</w:t>
      </w:r>
    </w:p>
    <w:p>
      <w:pPr>
        <w:pageBreakBefore w:val="0"/>
        <w:widowControl/>
        <w:numPr>
          <w:ilvl w:val="0"/>
          <w:numId w:val="0"/>
        </w:numPr>
        <w:kinsoku/>
        <w:wordWrap/>
        <w:overflowPunct/>
        <w:topLinePunct w:val="0"/>
        <w:bidi w:val="0"/>
        <w:adjustRightInd w:val="0"/>
        <w:snapToGrid w:val="0"/>
        <w:spacing w:line="560" w:lineRule="exact"/>
        <w:contextualSpacing/>
        <w:jc w:val="left"/>
        <w:textAlignment w:val="auto"/>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    </w:t>
      </w:r>
      <w:r>
        <w:rPr>
          <w:rFonts w:hint="eastAsia" w:ascii="仿宋_GB2312" w:hAnsi="宋体" w:eastAsia="仿宋_GB2312"/>
          <w:sz w:val="32"/>
          <w:szCs w:val="32"/>
          <w:lang w:eastAsia="zh-CN"/>
        </w:rPr>
        <w:t>壤塘县人民检察院编制数政法专项编制数</w:t>
      </w:r>
      <w:r>
        <w:rPr>
          <w:rFonts w:hint="eastAsia" w:ascii="仿宋_GB2312" w:hAnsi="宋体" w:eastAsia="仿宋_GB2312"/>
          <w:sz w:val="32"/>
          <w:szCs w:val="32"/>
          <w:lang w:val="en-US" w:eastAsia="zh-CN"/>
        </w:rPr>
        <w:t>22</w:t>
      </w:r>
      <w:r>
        <w:rPr>
          <w:rFonts w:hint="eastAsia" w:ascii="仿宋_GB2312" w:hAnsi="宋体" w:eastAsia="仿宋_GB2312"/>
          <w:sz w:val="32"/>
          <w:szCs w:val="32"/>
          <w:lang w:eastAsia="zh-CN"/>
        </w:rPr>
        <w:t>名，工勤编制数</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名，聘用制书记员（编外）</w:t>
      </w:r>
      <w:r>
        <w:rPr>
          <w:rFonts w:hint="eastAsia" w:ascii="仿宋_GB2312" w:hAnsi="宋体" w:eastAsia="仿宋_GB2312"/>
          <w:sz w:val="32"/>
          <w:szCs w:val="32"/>
          <w:lang w:val="en-US" w:eastAsia="zh-CN"/>
        </w:rPr>
        <w:t>7人</w:t>
      </w:r>
      <w:r>
        <w:rPr>
          <w:rFonts w:hint="eastAsia" w:ascii="仿宋_GB2312" w:hAnsi="宋体" w:eastAsia="仿宋_GB2312"/>
          <w:sz w:val="32"/>
          <w:szCs w:val="32"/>
          <w:lang w:eastAsia="zh-CN"/>
        </w:rPr>
        <w:t>，其中：行政编制</w:t>
      </w:r>
      <w:r>
        <w:rPr>
          <w:rFonts w:hint="eastAsia" w:ascii="仿宋_GB2312" w:hAnsi="宋体" w:eastAsia="仿宋_GB2312"/>
          <w:sz w:val="32"/>
          <w:szCs w:val="32"/>
          <w:lang w:val="en-US" w:eastAsia="zh-CN"/>
        </w:rPr>
        <w:t>24</w:t>
      </w:r>
      <w:r>
        <w:rPr>
          <w:rFonts w:hint="eastAsia" w:ascii="仿宋_GB2312" w:hAnsi="宋体" w:eastAsia="仿宋_GB2312"/>
          <w:sz w:val="32"/>
          <w:szCs w:val="32"/>
          <w:lang w:eastAsia="zh-CN"/>
        </w:rPr>
        <w:t>人、全额事业编制</w:t>
      </w:r>
      <w:r>
        <w:rPr>
          <w:rFonts w:hint="eastAsia" w:ascii="仿宋_GB2312" w:hAnsi="宋体" w:eastAsia="仿宋_GB2312"/>
          <w:sz w:val="32"/>
          <w:szCs w:val="32"/>
          <w:lang w:val="en-US" w:eastAsia="zh-CN"/>
        </w:rPr>
        <w:t>0</w:t>
      </w:r>
      <w:r>
        <w:rPr>
          <w:rFonts w:hint="eastAsia" w:ascii="仿宋_GB2312" w:hAnsi="宋体" w:eastAsia="仿宋_GB2312"/>
          <w:sz w:val="32"/>
          <w:szCs w:val="32"/>
          <w:lang w:eastAsia="zh-CN"/>
        </w:rPr>
        <w:t>人。在职人数</w:t>
      </w:r>
      <w:r>
        <w:rPr>
          <w:rFonts w:hint="eastAsia" w:ascii="仿宋_GB2312" w:hAnsi="宋体" w:eastAsia="仿宋_GB2312"/>
          <w:sz w:val="32"/>
          <w:szCs w:val="32"/>
          <w:lang w:val="en-US" w:eastAsia="zh-CN"/>
        </w:rPr>
        <w:t>24</w:t>
      </w:r>
      <w:r>
        <w:rPr>
          <w:rFonts w:hint="eastAsia" w:ascii="仿宋_GB2312" w:hAnsi="宋体" w:eastAsia="仿宋_GB2312"/>
          <w:sz w:val="32"/>
          <w:szCs w:val="32"/>
          <w:lang w:eastAsia="zh-CN"/>
        </w:rPr>
        <w:t>人,聘用制书记员（编外）</w:t>
      </w:r>
      <w:r>
        <w:rPr>
          <w:rFonts w:hint="eastAsia" w:ascii="仿宋_GB2312" w:hAnsi="宋体" w:eastAsia="仿宋_GB2312"/>
          <w:sz w:val="32"/>
          <w:szCs w:val="32"/>
          <w:lang w:val="en-US" w:eastAsia="zh-CN"/>
        </w:rPr>
        <w:t>7人，</w:t>
      </w:r>
      <w:r>
        <w:rPr>
          <w:rFonts w:hint="eastAsia" w:ascii="仿宋_GB2312" w:hAnsi="宋体" w:eastAsia="仿宋_GB2312"/>
          <w:sz w:val="32"/>
          <w:szCs w:val="32"/>
          <w:lang w:eastAsia="zh-CN"/>
        </w:rPr>
        <w:t>离休人员</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人，退休人员</w:t>
      </w:r>
      <w:r>
        <w:rPr>
          <w:rFonts w:hint="eastAsia" w:ascii="仿宋_GB2312" w:hAnsi="宋体" w:eastAsia="仿宋_GB2312"/>
          <w:sz w:val="32"/>
          <w:szCs w:val="32"/>
          <w:lang w:val="en-US" w:eastAsia="zh-CN"/>
        </w:rPr>
        <w:t>7</w:t>
      </w:r>
      <w:r>
        <w:rPr>
          <w:rFonts w:hint="eastAsia" w:ascii="仿宋_GB2312" w:hAnsi="宋体" w:eastAsia="仿宋_GB2312"/>
          <w:sz w:val="32"/>
          <w:szCs w:val="32"/>
          <w:lang w:eastAsia="zh-CN"/>
        </w:rPr>
        <w:t>人。</w:t>
      </w:r>
    </w:p>
    <w:p>
      <w:pPr>
        <w:pageBreakBefore w:val="0"/>
        <w:widowControl/>
        <w:kinsoku/>
        <w:wordWrap/>
        <w:overflowPunct/>
        <w:topLinePunct w:val="0"/>
        <w:bidi w:val="0"/>
        <w:adjustRightInd w:val="0"/>
        <w:snapToGrid w:val="0"/>
        <w:spacing w:line="560" w:lineRule="exact"/>
        <w:ind w:firstLine="640" w:firstLineChars="200"/>
        <w:contextualSpacing/>
        <w:jc w:val="left"/>
        <w:textAlignment w:val="auto"/>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pageBreakBefore w:val="0"/>
        <w:widowControl/>
        <w:numPr>
          <w:ilvl w:val="0"/>
          <w:numId w:val="0"/>
        </w:numPr>
        <w:kinsoku/>
        <w:wordWrap/>
        <w:overflowPunct/>
        <w:topLinePunct w:val="0"/>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（一）部门财政资金收入情况</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年度，我院财政资金收入</w:t>
      </w:r>
      <w:r>
        <w:rPr>
          <w:rFonts w:hint="eastAsia" w:ascii="仿宋_GB2312" w:hAnsi="仿宋_GB2312" w:eastAsia="仿宋_GB2312" w:cs="仿宋_GB2312"/>
          <w:sz w:val="32"/>
          <w:szCs w:val="32"/>
          <w:lang w:val="en-US" w:eastAsia="zh-CN"/>
        </w:rPr>
        <w:t>904.18万元</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公共安全</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773.37万</w:t>
      </w:r>
      <w:r>
        <w:rPr>
          <w:rFonts w:hint="eastAsia" w:ascii="仿宋_GB2312" w:hAnsi="仿宋_GB2312" w:eastAsia="仿宋_GB2312" w:cs="仿宋_GB2312"/>
          <w:sz w:val="32"/>
          <w:szCs w:val="32"/>
        </w:rPr>
        <w:t>元，社会保障和就业</w:t>
      </w:r>
      <w:r>
        <w:rPr>
          <w:rFonts w:hint="eastAsia" w:ascii="仿宋_GB2312" w:hAnsi="仿宋_GB2312" w:eastAsia="仿宋_GB2312" w:cs="仿宋_GB2312"/>
          <w:sz w:val="32"/>
          <w:szCs w:val="32"/>
          <w:lang w:eastAsia="zh-CN"/>
        </w:rPr>
        <w:t>支出收入</w:t>
      </w:r>
      <w:r>
        <w:rPr>
          <w:rFonts w:hint="eastAsia" w:ascii="仿宋_GB2312" w:hAnsi="仿宋_GB2312" w:eastAsia="仿宋_GB2312" w:cs="仿宋_GB2312"/>
          <w:sz w:val="32"/>
          <w:szCs w:val="32"/>
          <w:lang w:val="en-US" w:eastAsia="zh-CN"/>
        </w:rPr>
        <w:t>60.77万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卫生健康支出收入</w:t>
      </w:r>
      <w:r>
        <w:rPr>
          <w:rFonts w:hint="eastAsia" w:ascii="仿宋_GB2312" w:hAnsi="仿宋_GB2312" w:eastAsia="仿宋_GB2312" w:cs="仿宋_GB2312"/>
          <w:sz w:val="32"/>
          <w:szCs w:val="32"/>
          <w:lang w:val="en-US" w:eastAsia="zh-CN"/>
        </w:rPr>
        <w:t>21.92万</w:t>
      </w:r>
      <w:r>
        <w:rPr>
          <w:rFonts w:hint="eastAsia" w:ascii="仿宋_GB2312" w:hAnsi="仿宋_GB2312" w:eastAsia="仿宋_GB2312" w:cs="仿宋_GB2312"/>
          <w:sz w:val="32"/>
          <w:szCs w:val="32"/>
        </w:rPr>
        <w:t>元，住房保障支出收入</w:t>
      </w:r>
      <w:r>
        <w:rPr>
          <w:rFonts w:hint="eastAsia" w:ascii="仿宋_GB2312" w:hAnsi="仿宋_GB2312" w:eastAsia="仿宋_GB2312" w:cs="仿宋_GB2312"/>
          <w:sz w:val="32"/>
          <w:szCs w:val="32"/>
          <w:lang w:val="en-US" w:eastAsia="zh-CN"/>
        </w:rPr>
        <w:t>48.12万</w:t>
      </w:r>
      <w:r>
        <w:rPr>
          <w:rFonts w:hint="eastAsia" w:ascii="仿宋_GB2312" w:hAnsi="仿宋_GB2312" w:eastAsia="仿宋_GB2312" w:cs="仿宋_GB2312"/>
          <w:sz w:val="32"/>
          <w:szCs w:val="32"/>
        </w:rPr>
        <w:t>元。</w:t>
      </w:r>
    </w:p>
    <w:p>
      <w:pPr>
        <w:pageBreakBefore w:val="0"/>
        <w:widowControl/>
        <w:numPr>
          <w:ilvl w:val="0"/>
          <w:numId w:val="0"/>
        </w:numPr>
        <w:kinsoku/>
        <w:wordWrap/>
        <w:overflowPunct/>
        <w:topLinePunct w:val="0"/>
        <w:bidi w:val="0"/>
        <w:adjustRightInd w:val="0"/>
        <w:snapToGrid w:val="0"/>
        <w:spacing w:line="560" w:lineRule="exact"/>
        <w:ind w:leftChars="200" w:firstLine="321" w:firstLineChars="100"/>
        <w:contextualSpacing/>
        <w:jc w:val="left"/>
        <w:textAlignment w:val="auto"/>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（二）部门财政资金支出情况</w:t>
      </w:r>
    </w:p>
    <w:p>
      <w:pPr>
        <w:pageBreakBefore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年度，我院财政资金支出</w:t>
      </w:r>
      <w:r>
        <w:rPr>
          <w:rFonts w:hint="eastAsia" w:ascii="仿宋_GB2312" w:hAnsi="仿宋_GB2312" w:eastAsia="仿宋_GB2312" w:cs="仿宋_GB2312"/>
          <w:sz w:val="32"/>
          <w:szCs w:val="32"/>
          <w:lang w:val="en-US" w:eastAsia="zh-CN"/>
        </w:rPr>
        <w:t>845.98万</w:t>
      </w:r>
      <w:r>
        <w:rPr>
          <w:rFonts w:hint="eastAsia" w:ascii="仿宋_GB2312" w:hAnsi="仿宋_GB2312" w:eastAsia="仿宋_GB2312" w:cs="仿宋_GB2312"/>
          <w:sz w:val="32"/>
          <w:szCs w:val="32"/>
        </w:rPr>
        <w:t>元，其中公共安全</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715.17万</w:t>
      </w:r>
      <w:r>
        <w:rPr>
          <w:rFonts w:hint="eastAsia" w:ascii="仿宋_GB2312" w:hAnsi="仿宋_GB2312" w:eastAsia="仿宋_GB2312" w:cs="仿宋_GB2312"/>
          <w:sz w:val="32"/>
          <w:szCs w:val="32"/>
        </w:rPr>
        <w:t>元，社会保障和就业</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60.77万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卫生健康支出</w:t>
      </w:r>
      <w:r>
        <w:rPr>
          <w:rFonts w:hint="eastAsia" w:ascii="仿宋_GB2312" w:hAnsi="仿宋_GB2312" w:eastAsia="仿宋_GB2312" w:cs="仿宋_GB2312"/>
          <w:sz w:val="32"/>
          <w:szCs w:val="32"/>
          <w:lang w:val="en-US" w:eastAsia="zh-CN"/>
        </w:rPr>
        <w:t>21.92万</w:t>
      </w:r>
      <w:r>
        <w:rPr>
          <w:rFonts w:hint="eastAsia" w:ascii="仿宋_GB2312" w:hAnsi="仿宋_GB2312" w:eastAsia="仿宋_GB2312" w:cs="仿宋_GB2312"/>
          <w:sz w:val="32"/>
          <w:szCs w:val="32"/>
        </w:rPr>
        <w:t>元，住房保障支出</w:t>
      </w:r>
      <w:r>
        <w:rPr>
          <w:rFonts w:hint="eastAsia" w:ascii="仿宋_GB2312" w:hAnsi="仿宋_GB2312" w:eastAsia="仿宋_GB2312" w:cs="仿宋_GB2312"/>
          <w:sz w:val="32"/>
          <w:szCs w:val="32"/>
          <w:lang w:val="en-US" w:eastAsia="zh-CN"/>
        </w:rPr>
        <w:t>48.12万</w:t>
      </w:r>
      <w:r>
        <w:rPr>
          <w:rFonts w:hint="eastAsia" w:ascii="仿宋_GB2312" w:hAnsi="仿宋_GB2312" w:eastAsia="仿宋_GB2312" w:cs="仿宋_GB2312"/>
          <w:sz w:val="32"/>
          <w:szCs w:val="32"/>
        </w:rPr>
        <w:t>元。</w:t>
      </w:r>
    </w:p>
    <w:p>
      <w:pPr>
        <w:pageBreakBefore w:val="0"/>
        <w:widowControl/>
        <w:kinsoku/>
        <w:wordWrap/>
        <w:overflowPunct/>
        <w:topLinePunct w:val="0"/>
        <w:bidi w:val="0"/>
        <w:adjustRightInd w:val="0"/>
        <w:snapToGrid w:val="0"/>
        <w:spacing w:line="560" w:lineRule="exact"/>
        <w:ind w:firstLine="640" w:firstLineChars="200"/>
        <w:contextualSpacing/>
        <w:jc w:val="left"/>
        <w:textAlignment w:val="auto"/>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pageBreakBefore w:val="0"/>
        <w:widowControl/>
        <w:numPr>
          <w:ilvl w:val="0"/>
          <w:numId w:val="0"/>
        </w:numPr>
        <w:kinsoku/>
        <w:wordWrap/>
        <w:overflowPunct/>
        <w:topLinePunct w:val="0"/>
        <w:bidi w:val="0"/>
        <w:adjustRightInd w:val="0"/>
        <w:snapToGrid w:val="0"/>
        <w:spacing w:line="560" w:lineRule="exact"/>
        <w:ind w:leftChars="200" w:firstLine="321" w:firstLineChars="100"/>
        <w:contextualSpacing/>
        <w:jc w:val="left"/>
        <w:textAlignment w:val="auto"/>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（一）部门预算管理</w:t>
      </w:r>
    </w:p>
    <w:p>
      <w:pPr>
        <w:keepNext w:val="0"/>
        <w:keepLines w:val="0"/>
        <w:pageBreakBefore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rPr>
          <w:rFonts w:ascii="仿宋" w:hAnsi="仿宋" w:eastAsia="仿宋" w:cs="仿宋_GB2312"/>
          <w:sz w:val="32"/>
          <w:szCs w:val="32"/>
        </w:rPr>
      </w:pPr>
      <w:r>
        <w:rPr>
          <w:rFonts w:hint="eastAsia" w:ascii="仿宋_GB2312" w:hAnsi="仿宋_GB2312" w:eastAsia="仿宋_GB2312" w:cs="仿宋_GB2312"/>
          <w:color w:val="000000"/>
          <w:sz w:val="32"/>
          <w:szCs w:val="32"/>
        </w:rPr>
        <w:t>我院按照财政要求及时准确、保质保量编报财政预决算、绩效目标报表。根据我院工作实际，建立各项工作制度，实施内部监督和控制，并在工作中严格要求遵守规章制度，</w:t>
      </w:r>
      <w:r>
        <w:rPr>
          <w:rFonts w:hint="eastAsia" w:ascii="仿宋_GB2312" w:hAnsi="仿宋_GB2312" w:eastAsia="仿宋_GB2312" w:cs="仿宋_GB2312"/>
          <w:color w:val="000000"/>
          <w:sz w:val="32"/>
          <w:szCs w:val="32"/>
          <w:lang w:eastAsia="zh-CN"/>
        </w:rPr>
        <w:t>强化控制作用</w:t>
      </w:r>
      <w:r>
        <w:rPr>
          <w:rFonts w:hint="eastAsia" w:ascii="仿宋_GB2312" w:hAnsi="仿宋_GB2312" w:eastAsia="仿宋_GB2312" w:cs="仿宋_GB2312"/>
          <w:color w:val="000000"/>
          <w:sz w:val="32"/>
          <w:szCs w:val="32"/>
        </w:rPr>
        <w:t>，保证了会计工作的真实性、完整性以及单位财产的安全，加强了对本单位财产物资的监督和管理，杜绝了各种漏洞的发生。</w:t>
      </w:r>
    </w:p>
    <w:p>
      <w:pPr>
        <w:pageBreakBefore w:val="0"/>
        <w:widowControl/>
        <w:numPr>
          <w:ilvl w:val="0"/>
          <w:numId w:val="0"/>
        </w:numPr>
        <w:kinsoku/>
        <w:wordWrap/>
        <w:overflowPunct/>
        <w:topLinePunct w:val="0"/>
        <w:bidi w:val="0"/>
        <w:adjustRightInd w:val="0"/>
        <w:snapToGrid w:val="0"/>
        <w:spacing w:line="560" w:lineRule="exact"/>
        <w:ind w:leftChars="200" w:firstLine="321" w:firstLineChars="100"/>
        <w:contextualSpacing/>
        <w:jc w:val="left"/>
        <w:textAlignment w:val="auto"/>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（二）结果应用情况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我院根据部门整体支出绩效评价指标体系对部门预算绩效管理工作开展情况进行自评。从年初指标细则到指标完成情况，进行全面自查及自评，通过落实目标明确、目标合理、工作可量化等各项要求，保障了</w:t>
      </w:r>
      <w:r>
        <w:rPr>
          <w:rFonts w:hint="eastAsia" w:ascii="仿宋_GB2312" w:hAnsi="仿宋_GB2312" w:eastAsia="仿宋_GB2312" w:cs="仿宋_GB2312"/>
          <w:color w:val="000000"/>
          <w:kern w:val="0"/>
          <w:sz w:val="32"/>
          <w:szCs w:val="32"/>
          <w:lang w:eastAsia="zh-CN"/>
        </w:rPr>
        <w:t>我院</w:t>
      </w:r>
      <w:r>
        <w:rPr>
          <w:rFonts w:hint="eastAsia" w:ascii="仿宋_GB2312" w:hAnsi="仿宋_GB2312" w:eastAsia="仿宋_GB2312" w:cs="仿宋_GB2312"/>
          <w:color w:val="000000"/>
          <w:kern w:val="0"/>
          <w:sz w:val="32"/>
          <w:szCs w:val="32"/>
        </w:rPr>
        <w:t>工作高效运行，各项工作按照计划有序实施，完成数量及质量均得到有效控制；工作实施所需的经费均得到充分保障，</w:t>
      </w:r>
      <w:r>
        <w:rPr>
          <w:rFonts w:hint="eastAsia" w:ascii="仿宋_GB2312" w:hAnsi="仿宋_GB2312" w:eastAsia="仿宋_GB2312" w:cs="仿宋_GB2312"/>
          <w:color w:val="000000"/>
          <w:kern w:val="0"/>
          <w:sz w:val="32"/>
          <w:szCs w:val="32"/>
          <w:lang w:eastAsia="zh-CN"/>
        </w:rPr>
        <w:t>检察</w:t>
      </w:r>
      <w:r>
        <w:rPr>
          <w:rFonts w:hint="eastAsia" w:ascii="仿宋_GB2312" w:hAnsi="仿宋_GB2312" w:eastAsia="仿宋_GB2312" w:cs="仿宋_GB2312"/>
          <w:color w:val="000000"/>
          <w:kern w:val="0"/>
          <w:sz w:val="32"/>
          <w:szCs w:val="32"/>
        </w:rPr>
        <w:t>工作质量显著提升。</w:t>
      </w:r>
    </w:p>
    <w:p>
      <w:pPr>
        <w:pageBreakBefore w:val="0"/>
        <w:widowControl/>
        <w:kinsoku/>
        <w:wordWrap/>
        <w:overflowPunct/>
        <w:topLinePunct w:val="0"/>
        <w:bidi w:val="0"/>
        <w:adjustRightInd w:val="0"/>
        <w:snapToGrid w:val="0"/>
        <w:spacing w:line="560" w:lineRule="exact"/>
        <w:ind w:firstLine="640" w:firstLineChars="200"/>
        <w:contextualSpacing/>
        <w:jc w:val="left"/>
        <w:textAlignment w:val="auto"/>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pageBreakBefore w:val="0"/>
        <w:widowControl/>
        <w:numPr>
          <w:ilvl w:val="0"/>
          <w:numId w:val="0"/>
        </w:numPr>
        <w:kinsoku/>
        <w:wordWrap/>
        <w:overflowPunct/>
        <w:topLinePunct w:val="0"/>
        <w:bidi w:val="0"/>
        <w:adjustRightInd w:val="0"/>
        <w:snapToGrid w:val="0"/>
        <w:spacing w:line="560" w:lineRule="exact"/>
        <w:ind w:leftChars="200" w:firstLine="321" w:firstLineChars="100"/>
        <w:contextualSpacing/>
        <w:jc w:val="left"/>
        <w:textAlignment w:val="auto"/>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（一）评价结论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lang w:eastAsia="zh-CN"/>
        </w:rPr>
        <w:t>我院</w:t>
      </w:r>
      <w:r>
        <w:rPr>
          <w:rFonts w:hint="eastAsia" w:ascii="仿宋_GB2312" w:hAnsi="仿宋_GB2312" w:eastAsia="仿宋_GB2312" w:cs="仿宋_GB2312"/>
          <w:color w:val="000000"/>
          <w:kern w:val="0"/>
          <w:sz w:val="32"/>
          <w:szCs w:val="32"/>
        </w:rPr>
        <w:t>部门预算执行情况良好，无不良记录及违规违纪行为</w:t>
      </w:r>
      <w:r>
        <w:rPr>
          <w:rFonts w:hint="eastAsia" w:ascii="仿宋_GB2312" w:hAnsi="仿宋_GB2312" w:eastAsia="仿宋_GB2312" w:cs="仿宋_GB2312"/>
          <w:color w:val="000000"/>
          <w:kern w:val="0"/>
          <w:sz w:val="32"/>
          <w:szCs w:val="32"/>
          <w:lang w:eastAsia="zh-CN"/>
        </w:rPr>
        <w:t>。</w:t>
      </w:r>
    </w:p>
    <w:p>
      <w:pPr>
        <w:pageBreakBefore w:val="0"/>
        <w:widowControl/>
        <w:numPr>
          <w:ilvl w:val="0"/>
          <w:numId w:val="0"/>
        </w:numPr>
        <w:kinsoku/>
        <w:wordWrap/>
        <w:overflowPunct/>
        <w:topLinePunct w:val="0"/>
        <w:bidi w:val="0"/>
        <w:adjustRightInd w:val="0"/>
        <w:snapToGrid w:val="0"/>
        <w:spacing w:line="560" w:lineRule="exact"/>
        <w:ind w:leftChars="200" w:firstLine="321" w:firstLineChars="100"/>
        <w:contextualSpacing/>
        <w:jc w:val="left"/>
        <w:textAlignment w:val="auto"/>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（二）存在问题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Calibri" w:eastAsia="仿宋_GB2312" w:cs="仿宋"/>
          <w:color w:val="000000"/>
          <w:sz w:val="32"/>
          <w:szCs w:val="32"/>
        </w:rPr>
        <w:t>财务人员业务</w:t>
      </w:r>
      <w:r>
        <w:rPr>
          <w:rFonts w:hint="eastAsia" w:ascii="仿宋_GB2312" w:hAnsi="Calibri" w:eastAsia="仿宋_GB2312" w:cs="仿宋"/>
          <w:color w:val="000000"/>
          <w:sz w:val="32"/>
          <w:szCs w:val="32"/>
          <w:lang w:eastAsia="zh-CN"/>
        </w:rPr>
        <w:t>专业</w:t>
      </w:r>
      <w:r>
        <w:rPr>
          <w:rFonts w:hint="eastAsia" w:ascii="仿宋_GB2312" w:hAnsi="Calibri" w:eastAsia="仿宋_GB2312" w:cs="仿宋"/>
          <w:color w:val="000000"/>
          <w:sz w:val="32"/>
          <w:szCs w:val="32"/>
        </w:rPr>
        <w:t>水平有待提高</w:t>
      </w:r>
      <w:r>
        <w:rPr>
          <w:rFonts w:hint="eastAsia" w:ascii="仿宋_GB2312" w:hAnsi="仿宋_GB2312" w:eastAsia="仿宋_GB2312" w:cs="仿宋_GB2312"/>
          <w:color w:val="000000"/>
          <w:kern w:val="0"/>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仿宋"/>
          <w:color w:val="000000"/>
          <w:sz w:val="32"/>
          <w:szCs w:val="32"/>
          <w:lang w:eastAsia="zh-CN"/>
        </w:rPr>
      </w:pPr>
      <w:r>
        <w:rPr>
          <w:rFonts w:hint="eastAsia" w:ascii="仿宋_GB2312" w:hAnsi="Calibri" w:eastAsia="仿宋_GB2312" w:cs="仿宋"/>
          <w:color w:val="000000"/>
          <w:sz w:val="32"/>
          <w:szCs w:val="32"/>
        </w:rPr>
        <w:t>预算编制仍需进一步精确细化。</w:t>
      </w:r>
    </w:p>
    <w:p>
      <w:pPr>
        <w:pageBreakBefore w:val="0"/>
        <w:widowControl/>
        <w:numPr>
          <w:ilvl w:val="0"/>
          <w:numId w:val="0"/>
        </w:numPr>
        <w:kinsoku/>
        <w:wordWrap/>
        <w:overflowPunct/>
        <w:topLinePunct w:val="0"/>
        <w:bidi w:val="0"/>
        <w:adjustRightInd w:val="0"/>
        <w:snapToGrid w:val="0"/>
        <w:spacing w:line="560" w:lineRule="exact"/>
        <w:ind w:leftChars="200" w:firstLine="321" w:firstLineChars="100"/>
        <w:contextualSpacing/>
        <w:jc w:val="left"/>
        <w:textAlignment w:val="auto"/>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（三）改进建议</w:t>
      </w:r>
    </w:p>
    <w:p>
      <w:pPr>
        <w:pageBreakBefore w:val="0"/>
        <w:widowControl/>
        <w:numPr>
          <w:ilvl w:val="0"/>
          <w:numId w:val="0"/>
        </w:numPr>
        <w:kinsoku/>
        <w:wordWrap/>
        <w:overflowPunct/>
        <w:topLinePunct w:val="0"/>
        <w:bidi w:val="0"/>
        <w:adjustRightInd w:val="0"/>
        <w:snapToGrid w:val="0"/>
        <w:spacing w:line="560" w:lineRule="exact"/>
        <w:ind w:firstLine="640" w:firstLineChars="200"/>
        <w:contextualSpacing/>
        <w:jc w:val="left"/>
        <w:textAlignment w:val="auto"/>
        <w:rPr>
          <w:rFonts w:hint="eastAsia" w:ascii="仿宋_GB2312" w:hAnsi="Calibri" w:eastAsia="仿宋_GB2312" w:cs="仿宋"/>
          <w:color w:val="000000"/>
          <w:sz w:val="32"/>
          <w:szCs w:val="32"/>
          <w:lang w:val="zh-CN"/>
        </w:rPr>
      </w:pPr>
      <w:r>
        <w:rPr>
          <w:rFonts w:hint="eastAsia" w:ascii="仿宋_GB2312" w:hAnsi="Calibri" w:eastAsia="仿宋_GB2312" w:cs="仿宋"/>
          <w:color w:val="000000"/>
          <w:sz w:val="32"/>
          <w:szCs w:val="32"/>
        </w:rPr>
        <w:t>一是</w:t>
      </w:r>
      <w:r>
        <w:rPr>
          <w:rFonts w:hint="eastAsia" w:ascii="仿宋_GB2312" w:hAnsi="Calibri" w:eastAsia="仿宋_GB2312" w:cs="仿宋"/>
          <w:color w:val="000000"/>
          <w:sz w:val="32"/>
          <w:szCs w:val="32"/>
          <w:lang w:eastAsia="zh-CN"/>
        </w:rPr>
        <w:t>财务人员提高业务技能，加强理论培训。二是</w:t>
      </w:r>
      <w:r>
        <w:rPr>
          <w:rFonts w:hint="eastAsia" w:ascii="仿宋_GB2312" w:hAnsi="Calibri" w:eastAsia="仿宋_GB2312" w:cs="仿宋"/>
          <w:color w:val="000000"/>
          <w:sz w:val="32"/>
          <w:szCs w:val="32"/>
        </w:rPr>
        <w:t>科学合理编制预算，严格执行预算。</w:t>
      </w:r>
      <w:r>
        <w:rPr>
          <w:rFonts w:hint="eastAsia" w:ascii="仿宋_GB2312" w:hAnsi="Calibri" w:eastAsia="仿宋_GB2312" w:cs="仿宋"/>
          <w:color w:val="000000"/>
          <w:sz w:val="32"/>
          <w:szCs w:val="32"/>
          <w:lang w:eastAsia="zh-CN"/>
        </w:rPr>
        <w:t>在</w:t>
      </w:r>
      <w:r>
        <w:rPr>
          <w:rFonts w:hint="eastAsia" w:ascii="仿宋_GB2312" w:hAnsi="Calibri" w:eastAsia="仿宋_GB2312" w:cs="仿宋"/>
          <w:color w:val="000000"/>
          <w:sz w:val="32"/>
          <w:szCs w:val="32"/>
        </w:rPr>
        <w:t>预算的编制阶段，多花时间、下功夫，将每一项支出的预算做好做细。在预算的执行阶段，严格控制每项支出，并定期将预算使用情况向院党组汇报，针对突发性支出做好准备工作。</w:t>
      </w: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bidi w:val="0"/>
        <w:spacing w:line="560" w:lineRule="exact"/>
        <w:textAlignment w:val="auto"/>
        <w:rPr>
          <w:rFonts w:ascii="仿宋_GB2312" w:hAnsi="仿宋_GB2312" w:eastAsia="仿宋_GB2312" w:cs="仿宋_GB2312"/>
          <w:sz w:val="32"/>
          <w:szCs w:val="32"/>
        </w:rPr>
      </w:pPr>
      <w:r>
        <w:rPr>
          <w:rFonts w:hint="eastAsia" w:ascii="黑体" w:hAnsi="黑体" w:eastAsia="黑体" w:cs="黑体"/>
          <w:sz w:val="32"/>
          <w:szCs w:val="32"/>
        </w:rPr>
        <w:t>附件2</w:t>
      </w:r>
    </w:p>
    <w:p>
      <w:pPr>
        <w:pageBreakBefore w:val="0"/>
        <w:kinsoku/>
        <w:wordWrap/>
        <w:overflowPunct/>
        <w:topLinePunct w:val="0"/>
        <w:bidi w:val="0"/>
        <w:spacing w:line="560" w:lineRule="exact"/>
        <w:jc w:val="center"/>
        <w:textAlignment w:val="auto"/>
        <w:rPr>
          <w:rFonts w:hint="eastAsia" w:ascii="方正小标宋简体" w:hAnsi="宋体" w:eastAsia="方正小标宋简体"/>
          <w:color w:val="000000"/>
          <w:kern w:val="0"/>
          <w:sz w:val="44"/>
          <w:szCs w:val="44"/>
          <w:lang w:eastAsia="zh-CN"/>
        </w:rPr>
      </w:pPr>
      <w:r>
        <w:rPr>
          <w:rFonts w:hint="eastAsia" w:ascii="方正小标宋简体" w:hAnsi="宋体" w:eastAsia="方正小标宋简体"/>
          <w:color w:val="000000"/>
          <w:kern w:val="0"/>
          <w:sz w:val="44"/>
          <w:szCs w:val="44"/>
          <w:lang w:eastAsia="zh-CN"/>
        </w:rPr>
        <w:t>壤塘县人民检察院</w:t>
      </w:r>
    </w:p>
    <w:p>
      <w:pPr>
        <w:pageBreakBefore w:val="0"/>
        <w:kinsoku/>
        <w:wordWrap/>
        <w:overflowPunct/>
        <w:topLinePunct w:val="0"/>
        <w:bidi w:val="0"/>
        <w:spacing w:line="560" w:lineRule="exact"/>
        <w:jc w:val="center"/>
        <w:textAlignment w:val="auto"/>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eastAsia="zh-CN"/>
        </w:rPr>
        <w:t>司法救助金</w:t>
      </w:r>
      <w:r>
        <w:rPr>
          <w:rFonts w:hint="eastAsia" w:ascii="方正小标宋简体" w:hAnsi="宋体" w:eastAsia="方正小标宋简体"/>
          <w:color w:val="000000"/>
          <w:kern w:val="0"/>
          <w:sz w:val="44"/>
          <w:szCs w:val="44"/>
          <w:lang w:val="zh-CN"/>
        </w:rPr>
        <w:t>绩效评价报告</w:t>
      </w:r>
    </w:p>
    <w:p>
      <w:pPr>
        <w:pageBreakBefore w:val="0"/>
        <w:kinsoku/>
        <w:wordWrap/>
        <w:overflowPunct/>
        <w:topLinePunct w:val="0"/>
        <w:bidi w:val="0"/>
        <w:spacing w:line="560" w:lineRule="exact"/>
        <w:textAlignment w:val="auto"/>
        <w:rPr>
          <w:rFonts w:ascii="宋体" w:hAnsi="宋体"/>
          <w:sz w:val="32"/>
          <w:szCs w:val="32"/>
          <w:lang w:val="zh-CN"/>
        </w:rPr>
      </w:pPr>
    </w:p>
    <w:p>
      <w:pPr>
        <w:pageBreakBefore w:val="0"/>
        <w:kinsoku/>
        <w:wordWrap/>
        <w:overflowPunct/>
        <w:topLinePunct w:val="0"/>
        <w:bidi w:val="0"/>
        <w:adjustRightInd w:val="0"/>
        <w:snapToGrid w:val="0"/>
        <w:spacing w:line="560" w:lineRule="exact"/>
        <w:ind w:firstLine="720"/>
        <w:textAlignment w:val="auto"/>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宋体" w:eastAsia="仿宋_GB2312" w:cs="宋体"/>
          <w:kern w:val="0"/>
          <w:sz w:val="32"/>
          <w:szCs w:val="32"/>
        </w:rPr>
        <w:t>检察院国家司法救助工作，是检察院在办理案件过程中，对遭受犯罪侵害或者民事侵权，无法通过诉讼获得有效赔偿，生活面临急迫困难的当事人采取的辅助性救济措施。</w:t>
      </w:r>
      <w:r>
        <w:rPr>
          <w:rFonts w:hint="eastAsia" w:ascii="仿宋_GB2312" w:hAnsi="仿宋_GB2312" w:eastAsia="仿宋_GB2312" w:cs="仿宋_GB2312"/>
          <w:color w:val="000000"/>
          <w:kern w:val="0"/>
          <w:sz w:val="32"/>
          <w:szCs w:val="32"/>
          <w:lang w:val="en-US" w:eastAsia="zh-CN"/>
        </w:rPr>
        <w:t>2019年我院司法救助案件3件5人，共计金额4万元。</w:t>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pageBreakBefore w:val="0"/>
        <w:kinsoku/>
        <w:wordWrap/>
        <w:overflowPunct/>
        <w:topLinePunct w:val="0"/>
        <w:bidi w:val="0"/>
        <w:adjustRightInd w:val="0"/>
        <w:snapToGrid w:val="0"/>
        <w:spacing w:line="560" w:lineRule="exact"/>
        <w:ind w:firstLine="72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按时保质的完成</w:t>
      </w:r>
      <w:r>
        <w:rPr>
          <w:rFonts w:hint="eastAsia" w:ascii="仿宋_GB2312" w:hAnsi="宋体" w:eastAsia="仿宋_GB2312" w:cs="宋体"/>
          <w:kern w:val="0"/>
          <w:sz w:val="32"/>
          <w:szCs w:val="32"/>
          <w:lang w:eastAsia="zh-CN"/>
        </w:rPr>
        <w:t>司法救助案件</w:t>
      </w:r>
      <w:r>
        <w:rPr>
          <w:rFonts w:hint="eastAsia" w:ascii="仿宋_GB2312" w:hAnsi="宋体" w:eastAsia="仿宋_GB2312" w:cs="宋体"/>
          <w:kern w:val="0"/>
          <w:sz w:val="32"/>
          <w:szCs w:val="32"/>
        </w:rPr>
        <w:t>。</w:t>
      </w:r>
    </w:p>
    <w:p>
      <w:pPr>
        <w:pageBreakBefore w:val="0"/>
        <w:kinsoku/>
        <w:wordWrap/>
        <w:overflowPunct/>
        <w:topLinePunct w:val="0"/>
        <w:bidi w:val="0"/>
        <w:adjustRightInd w:val="0"/>
        <w:snapToGrid w:val="0"/>
        <w:spacing w:line="560" w:lineRule="exact"/>
        <w:ind w:firstLine="72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2.加强社会治安综合治理工作，确保全县平安稳定，保障社会公平正义，促进社会和谐稳定。</w:t>
      </w:r>
      <w:r>
        <w:rPr>
          <w:rFonts w:hint="eastAsia" w:ascii="仿宋_GB2312" w:hAnsi="宋体" w:eastAsia="仿宋_GB2312" w:cs="宋体"/>
          <w:kern w:val="0"/>
          <w:sz w:val="32"/>
          <w:szCs w:val="32"/>
        </w:rPr>
        <w:t xml:space="preserve"> </w:t>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ageBreakBefore w:val="0"/>
        <w:kinsoku/>
        <w:wordWrap/>
        <w:overflowPunct/>
        <w:topLinePunct w:val="0"/>
        <w:bidi w:val="0"/>
        <w:adjustRightInd w:val="0"/>
        <w:snapToGrid w:val="0"/>
        <w:spacing w:line="560" w:lineRule="exact"/>
        <w:ind w:firstLine="720"/>
        <w:textAlignment w:val="auto"/>
        <w:rPr>
          <w:rFonts w:hint="eastAsia" w:ascii="仿宋_GB2312" w:hAnsi="宋体" w:eastAsia="仿宋_GB2312"/>
          <w:sz w:val="32"/>
          <w:szCs w:val="32"/>
          <w:lang w:val="zh-CN" w:eastAsia="zh-CN"/>
        </w:rPr>
      </w:pPr>
      <w:r>
        <w:rPr>
          <w:rFonts w:hint="eastAsia" w:ascii="仿宋_GB2312" w:hAnsi="仿宋_GB2312" w:eastAsia="仿宋_GB2312" w:cs="仿宋_GB2312"/>
          <w:color w:val="000000"/>
          <w:kern w:val="0"/>
          <w:sz w:val="32"/>
          <w:szCs w:val="32"/>
          <w:lang w:val="zh-CN"/>
        </w:rPr>
        <w:t>我院根据质量指标、时效指标、成本指标、社会效益指标、可持续影响指标、服务对象满意度指标对</w:t>
      </w:r>
      <w:r>
        <w:rPr>
          <w:rFonts w:hint="eastAsia" w:ascii="仿宋_GB2312" w:hAnsi="宋体" w:eastAsia="仿宋_GB2312"/>
          <w:sz w:val="32"/>
          <w:szCs w:val="32"/>
          <w:lang w:val="en-US" w:eastAsia="zh-CN"/>
        </w:rPr>
        <w:t>2019年</w:t>
      </w:r>
      <w:r>
        <w:rPr>
          <w:rFonts w:hint="eastAsia" w:ascii="仿宋_GB2312" w:hAnsi="仿宋_GB2312" w:eastAsia="仿宋_GB2312" w:cs="仿宋_GB2312"/>
          <w:color w:val="000000"/>
          <w:kern w:val="0"/>
          <w:sz w:val="32"/>
          <w:szCs w:val="32"/>
          <w:lang w:eastAsia="zh-CN"/>
        </w:rPr>
        <w:t>司法救助金项目进行自评。</w:t>
      </w:r>
    </w:p>
    <w:p>
      <w:pPr>
        <w:pageBreakBefore w:val="0"/>
        <w:kinsoku/>
        <w:wordWrap/>
        <w:overflowPunct/>
        <w:topLinePunct w:val="0"/>
        <w:bidi w:val="0"/>
        <w:adjustRightInd w:val="0"/>
        <w:snapToGrid w:val="0"/>
        <w:spacing w:line="560" w:lineRule="exact"/>
        <w:ind w:firstLine="720"/>
        <w:textAlignment w:val="auto"/>
        <w:rPr>
          <w:rFonts w:ascii="黑体" w:hAnsi="宋体" w:eastAsia="黑体"/>
          <w:sz w:val="32"/>
          <w:szCs w:val="32"/>
        </w:rPr>
      </w:pPr>
      <w:r>
        <w:rPr>
          <w:rFonts w:hint="eastAsia" w:ascii="黑体" w:hAnsi="宋体" w:eastAsia="黑体"/>
          <w:sz w:val="32"/>
          <w:szCs w:val="32"/>
        </w:rPr>
        <w:t>二、项目资金申报及使用情况</w:t>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widowControl/>
        <w:spacing w:line="600" w:lineRule="exact"/>
        <w:ind w:firstLine="640" w:firstLineChars="200"/>
        <w:jc w:val="left"/>
        <w:rPr>
          <w:rFonts w:hint="default" w:ascii="仿宋_GB2312" w:hAnsi="宋体" w:eastAsia="仿宋_GB2312"/>
          <w:color w:val="0000FF"/>
          <w:sz w:val="32"/>
          <w:szCs w:val="32"/>
          <w:lang w:val="en-US" w:eastAsia="zh-CN"/>
        </w:rPr>
      </w:pPr>
      <w:r>
        <w:rPr>
          <w:rFonts w:hint="eastAsia" w:ascii="仿宋_GB2312" w:hAnsi="宋体" w:eastAsia="仿宋_GB2312"/>
          <w:sz w:val="32"/>
          <w:szCs w:val="32"/>
          <w:lang w:val="en-US" w:eastAsia="zh-CN"/>
        </w:rPr>
        <w:t>根据《</w:t>
      </w:r>
      <w:r>
        <w:rPr>
          <w:rFonts w:hint="eastAsia" w:ascii="仿宋_GB2312" w:hAnsi="宋体" w:eastAsia="仿宋_GB2312" w:cs="宋体"/>
          <w:kern w:val="0"/>
          <w:sz w:val="32"/>
          <w:szCs w:val="32"/>
        </w:rPr>
        <w:t>中共壤塘县委政法委员会关于转发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中共阿坝州委政法委员会关于提醒将司法救助资金纳入财政预算的函</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的通知</w:t>
      </w:r>
      <w:r>
        <w:rPr>
          <w:rFonts w:hint="eastAsia" w:ascii="仿宋_GB2312" w:hAnsi="宋体" w:eastAsia="仿宋_GB2312" w:cs="宋体"/>
          <w:kern w:val="0"/>
          <w:sz w:val="32"/>
          <w:szCs w:val="32"/>
          <w:lang w:eastAsia="zh-CN"/>
        </w:rPr>
        <w:t>》的文件要求，每年将</w:t>
      </w:r>
      <w:r>
        <w:rPr>
          <w:rFonts w:hint="eastAsia" w:ascii="仿宋_GB2312" w:hAnsi="宋体" w:eastAsia="仿宋_GB2312" w:cs="宋体"/>
          <w:kern w:val="0"/>
          <w:sz w:val="32"/>
          <w:szCs w:val="32"/>
          <w:lang w:val="en-US" w:eastAsia="zh-CN"/>
        </w:rPr>
        <w:t>3万元的司法救助金纳入财政预算中。</w:t>
      </w:r>
    </w:p>
    <w:p>
      <w:pPr>
        <w:pageBreakBefore w:val="0"/>
        <w:kinsoku/>
        <w:wordWrap/>
        <w:overflowPunct/>
        <w:topLinePunct w:val="0"/>
        <w:bidi w:val="0"/>
        <w:adjustRightInd w:val="0"/>
        <w:snapToGrid w:val="0"/>
        <w:spacing w:line="560" w:lineRule="exact"/>
        <w:ind w:firstLine="720"/>
        <w:textAlignment w:val="auto"/>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pageBreakBefore w:val="0"/>
        <w:kinsoku/>
        <w:wordWrap/>
        <w:overflowPunct/>
        <w:topLinePunct w:val="0"/>
        <w:bidi w:val="0"/>
        <w:spacing w:line="560" w:lineRule="exact"/>
        <w:ind w:firstLine="640" w:firstLineChars="200"/>
        <w:textAlignment w:val="auto"/>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en-US" w:eastAsia="zh-CN"/>
        </w:rPr>
        <w:t>2019年</w:t>
      </w:r>
      <w:r>
        <w:rPr>
          <w:rFonts w:hint="eastAsia" w:ascii="仿宋_GB2312" w:hAnsi="仿宋_GB2312" w:eastAsia="仿宋_GB2312" w:cs="仿宋_GB2312"/>
          <w:color w:val="000000"/>
          <w:kern w:val="0"/>
          <w:sz w:val="32"/>
          <w:szCs w:val="32"/>
          <w:lang w:eastAsia="zh-CN"/>
        </w:rPr>
        <w:t>司法救助金</w:t>
      </w:r>
      <w:r>
        <w:rPr>
          <w:rFonts w:hint="eastAsia" w:ascii="仿宋_GB2312" w:hAnsi="宋体" w:eastAsia="仿宋_GB2312"/>
          <w:sz w:val="32"/>
          <w:szCs w:val="32"/>
          <w:lang w:val="en-US" w:eastAsia="zh-CN"/>
        </w:rPr>
        <w:t>项目资金全年预算数3万元，全年执行数4万元，预算执行率133%。其中全部为财政拨款资金。</w:t>
      </w:r>
    </w:p>
    <w:p>
      <w:pPr>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en-US" w:eastAsia="zh-CN"/>
        </w:rPr>
        <w:t>2019年</w:t>
      </w:r>
      <w:r>
        <w:rPr>
          <w:rFonts w:hint="eastAsia" w:ascii="仿宋_GB2312" w:hAnsi="仿宋_GB2312" w:eastAsia="仿宋_GB2312" w:cs="仿宋_GB2312"/>
          <w:color w:val="000000"/>
          <w:kern w:val="0"/>
          <w:sz w:val="32"/>
          <w:szCs w:val="32"/>
          <w:lang w:eastAsia="zh-CN"/>
        </w:rPr>
        <w:t>司法救助金</w:t>
      </w:r>
      <w:r>
        <w:rPr>
          <w:rFonts w:hint="eastAsia" w:ascii="仿宋_GB2312" w:hAnsi="宋体" w:eastAsia="仿宋_GB2312"/>
          <w:sz w:val="32"/>
          <w:szCs w:val="32"/>
          <w:lang w:val="en-US" w:eastAsia="zh-CN"/>
        </w:rPr>
        <w:t>项目</w:t>
      </w:r>
      <w:r>
        <w:rPr>
          <w:rFonts w:hint="eastAsia" w:ascii="仿宋_GB2312" w:hAnsi="宋体" w:eastAsia="仿宋_GB2312"/>
          <w:sz w:val="32"/>
          <w:szCs w:val="32"/>
          <w:lang w:val="zh-CN"/>
        </w:rPr>
        <w:t>资金到位率</w:t>
      </w:r>
      <w:r>
        <w:rPr>
          <w:rFonts w:hint="eastAsia" w:ascii="仿宋_GB2312" w:hAnsi="宋体" w:eastAsia="仿宋_GB2312"/>
          <w:sz w:val="32"/>
          <w:szCs w:val="32"/>
          <w:lang w:val="en-US" w:eastAsia="zh-CN"/>
        </w:rPr>
        <w:t>100%</w:t>
      </w:r>
      <w:r>
        <w:rPr>
          <w:rFonts w:hint="eastAsia" w:ascii="仿宋_GB2312" w:hAnsi="宋体" w:eastAsia="仿宋_GB2312"/>
          <w:sz w:val="32"/>
          <w:szCs w:val="32"/>
          <w:lang w:val="zh-CN"/>
        </w:rPr>
        <w:t>。</w:t>
      </w:r>
    </w:p>
    <w:p>
      <w:pPr>
        <w:pageBreakBefore w:val="0"/>
        <w:kinsoku/>
        <w:wordWrap/>
        <w:overflowPunct/>
        <w:topLinePunct w:val="0"/>
        <w:bidi w:val="0"/>
        <w:spacing w:line="560" w:lineRule="exact"/>
        <w:ind w:firstLine="640" w:firstLineChars="200"/>
        <w:jc w:val="left"/>
        <w:textAlignment w:val="auto"/>
        <w:rPr>
          <w:rFonts w:hint="eastAsia" w:ascii="仿宋_GB2312" w:hAnsi="宋体" w:eastAsia="仿宋_GB2312"/>
          <w:sz w:val="32"/>
          <w:szCs w:val="32"/>
          <w:lang w:val="en-US" w:eastAsia="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en-US" w:eastAsia="zh-CN"/>
        </w:rPr>
        <w:t>我院严格按照《人民检察院国家司法救助工作细则》文件规定使用专项资金。</w:t>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pageBreakBefore w:val="0"/>
        <w:kinsoku/>
        <w:wordWrap/>
        <w:overflowPunct/>
        <w:topLinePunct w:val="0"/>
        <w:bidi w:val="0"/>
        <w:adjustRightInd w:val="0"/>
        <w:snapToGrid w:val="0"/>
        <w:spacing w:line="560" w:lineRule="exact"/>
        <w:ind w:firstLine="72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司法救助金的发放，严格按照《人民检察院国家司法救助工作细则》的规定。</w:t>
      </w:r>
    </w:p>
    <w:p>
      <w:pPr>
        <w:pageBreakBefore w:val="0"/>
        <w:kinsoku/>
        <w:wordWrap/>
        <w:overflowPunct/>
        <w:topLinePunct w:val="0"/>
        <w:bidi w:val="0"/>
        <w:adjustRightInd w:val="0"/>
        <w:snapToGrid w:val="0"/>
        <w:spacing w:line="560" w:lineRule="exact"/>
        <w:ind w:firstLine="720"/>
        <w:textAlignment w:val="auto"/>
        <w:rPr>
          <w:rFonts w:ascii="黑体" w:hAnsi="宋体" w:eastAsia="黑体"/>
          <w:sz w:val="32"/>
          <w:szCs w:val="32"/>
        </w:rPr>
      </w:pPr>
      <w:r>
        <w:rPr>
          <w:rFonts w:hint="eastAsia" w:ascii="黑体" w:hAnsi="宋体" w:eastAsia="黑体"/>
          <w:sz w:val="32"/>
          <w:szCs w:val="32"/>
        </w:rPr>
        <w:t>三、项目实施及管理情况</w:t>
      </w:r>
    </w:p>
    <w:p>
      <w:pPr>
        <w:pageBreakBefore w:val="0"/>
        <w:kinsoku/>
        <w:wordWrap/>
        <w:overflowPunct/>
        <w:topLinePunct w:val="0"/>
        <w:bidi w:val="0"/>
        <w:adjustRightInd w:val="0"/>
        <w:snapToGrid w:val="0"/>
        <w:spacing w:line="560" w:lineRule="exact"/>
        <w:ind w:firstLine="720"/>
        <w:textAlignment w:val="auto"/>
        <w:rPr>
          <w:rFonts w:ascii="仿宋_GB2312" w:hAnsi="宋体" w:eastAsia="仿宋_GB2312"/>
          <w:sz w:val="32"/>
          <w:szCs w:val="32"/>
          <w:lang w:val="zh-CN"/>
        </w:rPr>
      </w:pPr>
      <w:r>
        <w:rPr>
          <w:rFonts w:hint="eastAsia" w:ascii="仿宋_GB2312" w:hAnsi="宋体" w:eastAsia="仿宋_GB2312"/>
          <w:sz w:val="32"/>
          <w:szCs w:val="32"/>
          <w:lang w:val="zh-CN"/>
        </w:rPr>
        <w:t>结合项目组</w:t>
      </w:r>
      <w:bookmarkStart w:id="70" w:name="_GoBack"/>
      <w:bookmarkEnd w:id="70"/>
      <w:r>
        <w:rPr>
          <w:rFonts w:hint="eastAsia" w:ascii="仿宋_GB2312" w:hAnsi="宋体" w:eastAsia="仿宋_GB2312"/>
          <w:sz w:val="32"/>
          <w:szCs w:val="32"/>
          <w:lang w:val="zh-CN"/>
        </w:rPr>
        <w:t>织实施管理办法，重点围绕以下内容进行分析评价，并对自评中发现的问题分析说明。</w:t>
      </w:r>
    </w:p>
    <w:p>
      <w:pPr>
        <w:pageBreakBefore w:val="0"/>
        <w:numPr>
          <w:ilvl w:val="0"/>
          <w:numId w:val="4"/>
        </w:numPr>
        <w:kinsoku/>
        <w:wordWrap/>
        <w:overflowPunct/>
        <w:topLinePunct w:val="0"/>
        <w:bidi w:val="0"/>
        <w:adjustRightInd w:val="0"/>
        <w:snapToGrid w:val="0"/>
        <w:spacing w:line="560" w:lineRule="exact"/>
        <w:ind w:firstLine="72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项目组织架构及实施流程</w:t>
      </w:r>
    </w:p>
    <w:p>
      <w:pPr>
        <w:pageBreakBefore w:val="0"/>
        <w:numPr>
          <w:ilvl w:val="0"/>
          <w:numId w:val="0"/>
        </w:numPr>
        <w:kinsoku/>
        <w:wordWrap/>
        <w:overflowPunct/>
        <w:topLinePunct w:val="0"/>
        <w:bidi w:val="0"/>
        <w:adjustRightInd w:val="0"/>
        <w:snapToGrid w:val="0"/>
        <w:spacing w:line="560" w:lineRule="exact"/>
        <w:ind w:firstLine="640" w:firstLineChars="200"/>
        <w:textAlignment w:val="auto"/>
        <w:rPr>
          <w:rFonts w:hint="default" w:ascii="楷体_GB2312" w:hAnsi="宋体" w:eastAsia="楷体_GB2312"/>
          <w:b/>
          <w:sz w:val="32"/>
          <w:szCs w:val="32"/>
          <w:lang w:val="en-US" w:eastAsia="zh-CN"/>
        </w:rPr>
      </w:pPr>
      <w:r>
        <w:rPr>
          <w:rFonts w:hint="eastAsia" w:ascii="仿宋_GB2312" w:hAnsi="宋体" w:eastAsia="仿宋_GB2312"/>
          <w:sz w:val="32"/>
          <w:szCs w:val="32"/>
          <w:lang w:val="en-US" w:eastAsia="zh-CN"/>
        </w:rPr>
        <w:t>2019年</w:t>
      </w:r>
      <w:r>
        <w:rPr>
          <w:rFonts w:hint="eastAsia" w:ascii="仿宋_GB2312" w:hAnsi="仿宋_GB2312" w:eastAsia="仿宋_GB2312" w:cs="仿宋_GB2312"/>
          <w:color w:val="000000"/>
          <w:kern w:val="0"/>
          <w:sz w:val="32"/>
          <w:szCs w:val="32"/>
          <w:lang w:eastAsia="zh-CN"/>
        </w:rPr>
        <w:t>司法救助金包括</w:t>
      </w:r>
      <w:r>
        <w:rPr>
          <w:rFonts w:hint="eastAsia" w:ascii="仿宋_GB2312" w:hAnsi="仿宋_GB2312" w:eastAsia="仿宋_GB2312" w:cs="仿宋_GB2312"/>
          <w:color w:val="000000"/>
          <w:kern w:val="0"/>
          <w:sz w:val="32"/>
          <w:szCs w:val="32"/>
          <w:lang w:val="en-US" w:eastAsia="zh-CN"/>
        </w:rPr>
        <w:t>2019年全年支出的司法救助金。</w:t>
      </w:r>
    </w:p>
    <w:p>
      <w:pPr>
        <w:pageBreakBefore w:val="0"/>
        <w:kinsoku/>
        <w:wordWrap/>
        <w:overflowPunct/>
        <w:topLinePunct w:val="0"/>
        <w:bidi w:val="0"/>
        <w:adjustRightInd w:val="0"/>
        <w:snapToGrid w:val="0"/>
        <w:spacing w:line="560" w:lineRule="exact"/>
        <w:ind w:firstLine="720"/>
        <w:textAlignment w:val="auto"/>
        <w:rPr>
          <w:rFonts w:hint="eastAsia" w:ascii="仿宋_GB2312" w:hAnsi="宋体" w:eastAsia="仿宋_GB2312"/>
          <w:color w:val="0000FF"/>
          <w:sz w:val="32"/>
          <w:szCs w:val="32"/>
          <w:lang w:val="zh-CN"/>
        </w:rPr>
      </w:pPr>
      <w:r>
        <w:rPr>
          <w:rFonts w:hint="eastAsia" w:ascii="楷体_GB2312" w:hAnsi="宋体" w:eastAsia="楷体_GB2312"/>
          <w:b/>
          <w:sz w:val="32"/>
          <w:szCs w:val="32"/>
          <w:lang w:val="zh-CN"/>
        </w:rPr>
        <w:t>（二）项目管理情况</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sz w:val="32"/>
          <w:szCs w:val="32"/>
          <w:lang w:val="zh-CN" w:eastAsia="zh-CN"/>
        </w:rPr>
      </w:pPr>
      <w:r>
        <w:rPr>
          <w:rFonts w:hint="eastAsia" w:ascii="仿宋_GB2312" w:hAnsi="宋体" w:eastAsia="仿宋_GB2312"/>
          <w:sz w:val="32"/>
          <w:szCs w:val="32"/>
          <w:lang w:val="en-US" w:eastAsia="zh-CN"/>
        </w:rPr>
        <w:t xml:space="preserve">  </w:t>
      </w:r>
      <w:r>
        <w:rPr>
          <w:rFonts w:hint="eastAsia" w:ascii="仿宋_GB2312" w:hAnsi="宋体" w:eastAsia="仿宋_GB2312"/>
          <w:color w:val="0000FF"/>
          <w:sz w:val="32"/>
          <w:szCs w:val="32"/>
          <w:lang w:val="en-US" w:eastAsia="zh-CN"/>
        </w:rPr>
        <w:t xml:space="preserve">  </w:t>
      </w:r>
      <w:r>
        <w:rPr>
          <w:rFonts w:hint="eastAsia" w:ascii="仿宋_GB2312" w:hAnsi="仿宋_GB2312" w:eastAsia="仿宋_GB2312" w:cs="仿宋_GB2312"/>
          <w:sz w:val="32"/>
          <w:szCs w:val="32"/>
          <w:lang w:eastAsia="zh-CN"/>
        </w:rPr>
        <w:t>由我院第三检察部负责该项工作。</w:t>
      </w:r>
    </w:p>
    <w:p>
      <w:pPr>
        <w:pageBreakBefore w:val="0"/>
        <w:kinsoku/>
        <w:wordWrap/>
        <w:overflowPunct/>
        <w:topLinePunct w:val="0"/>
        <w:bidi w:val="0"/>
        <w:adjustRightInd w:val="0"/>
        <w:snapToGrid w:val="0"/>
        <w:spacing w:line="560" w:lineRule="exact"/>
        <w:ind w:firstLine="720"/>
        <w:textAlignment w:val="auto"/>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我院每支付一笔</w:t>
      </w:r>
      <w:r>
        <w:rPr>
          <w:rFonts w:hint="eastAsia" w:ascii="仿宋_GB2312" w:hAnsi="仿宋_GB2312" w:eastAsia="仿宋_GB2312" w:cs="仿宋_GB2312"/>
          <w:color w:val="000000"/>
          <w:kern w:val="0"/>
          <w:sz w:val="32"/>
          <w:szCs w:val="32"/>
          <w:lang w:eastAsia="zh-CN"/>
        </w:rPr>
        <w:t>司法救助金，都需通过县委政法委、县财政的审核。</w:t>
      </w:r>
    </w:p>
    <w:p>
      <w:pPr>
        <w:pageBreakBefore w:val="0"/>
        <w:kinsoku/>
        <w:wordWrap/>
        <w:overflowPunct/>
        <w:topLinePunct w:val="0"/>
        <w:bidi w:val="0"/>
        <w:adjustRightInd w:val="0"/>
        <w:snapToGrid w:val="0"/>
        <w:spacing w:line="560" w:lineRule="exact"/>
        <w:ind w:firstLine="720"/>
        <w:textAlignment w:val="auto"/>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ageBreakBefore w:val="0"/>
        <w:numPr>
          <w:ilvl w:val="0"/>
          <w:numId w:val="0"/>
        </w:numPr>
        <w:kinsoku/>
        <w:wordWrap/>
        <w:overflowPunct/>
        <w:topLinePunct w:val="0"/>
        <w:bidi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1.质量指标：司法救助上报情况年度指标值100%，全年完成值100%；司法救助审查情况年度指标值100%，全年完成值100%；司法救助资金发放情况年度指标值100%，全年完成值133%。</w:t>
      </w:r>
    </w:p>
    <w:p>
      <w:pPr>
        <w:pageBreakBefore w:val="0"/>
        <w:kinsoku/>
        <w:wordWrap/>
        <w:overflowPunct/>
        <w:topLinePunct w:val="0"/>
        <w:bidi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2.时效指标：资金到位率年度指标值100%，全年完成值100%；项目完成时效年度指标值2019年12月，全年完成值2019年12月。</w:t>
      </w:r>
    </w:p>
    <w:p>
      <w:pPr>
        <w:pageBreakBefore w:val="0"/>
        <w:numPr>
          <w:ilvl w:val="0"/>
          <w:numId w:val="0"/>
        </w:numPr>
        <w:kinsoku/>
        <w:wordWrap/>
        <w:overflowPunct/>
        <w:topLinePunct w:val="0"/>
        <w:bidi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3.成本指标：司法救助金经费年度指标值3万元，全年完成值4万元。</w:t>
      </w:r>
    </w:p>
    <w:p>
      <w:pPr>
        <w:pageBreakBefore w:val="0"/>
        <w:numPr>
          <w:ilvl w:val="0"/>
          <w:numId w:val="0"/>
        </w:numPr>
        <w:kinsoku/>
        <w:wordWrap/>
        <w:overflowPunct/>
        <w:topLinePunct w:val="0"/>
        <w:bidi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4.社会效益指标：社会稳定和谐发展年度指标值100%，全年完成值100%。</w:t>
      </w:r>
    </w:p>
    <w:p>
      <w:pPr>
        <w:pageBreakBefore w:val="0"/>
        <w:numPr>
          <w:ilvl w:val="0"/>
          <w:numId w:val="0"/>
        </w:numPr>
        <w:kinsoku/>
        <w:wordWrap/>
        <w:overflowPunct/>
        <w:topLinePunct w:val="0"/>
        <w:bidi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5.可持续影响指标：一直开展司法救助工作年度指标值100%，全年完成值100%。</w:t>
      </w:r>
    </w:p>
    <w:p>
      <w:pPr>
        <w:pageBreakBefore w:val="0"/>
        <w:numPr>
          <w:ilvl w:val="0"/>
          <w:numId w:val="0"/>
        </w:numPr>
        <w:kinsoku/>
        <w:wordWrap/>
        <w:overflowPunct/>
        <w:topLinePunct w:val="0"/>
        <w:bidi w:val="0"/>
        <w:spacing w:line="560" w:lineRule="exact"/>
        <w:ind w:firstLine="640" w:firstLineChars="200"/>
        <w:textAlignment w:val="auto"/>
        <w:rPr>
          <w:rFonts w:hint="eastAsia" w:ascii="仿宋_GB2312" w:hAnsi="宋体" w:eastAsia="仿宋_GB2312"/>
          <w:sz w:val="32"/>
          <w:szCs w:val="32"/>
          <w:lang w:val="zh-CN" w:eastAsia="zh-CN"/>
        </w:rPr>
      </w:pPr>
      <w:r>
        <w:rPr>
          <w:rFonts w:hint="eastAsia" w:ascii="仿宋_GB2312" w:hAnsi="宋体" w:eastAsia="仿宋_GB2312"/>
          <w:sz w:val="32"/>
          <w:szCs w:val="32"/>
          <w:lang w:val="en-US" w:eastAsia="zh-CN"/>
        </w:rPr>
        <w:t>6.服务对象满意度指标：对司法救助工作的满意度年度指标值100%，全年完成值100%；对办理司法救助工作人员的满意度年度指标值100%，全年完成值100%，达到预期效果；</w:t>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通过项目实施，</w:t>
      </w:r>
      <w:r>
        <w:rPr>
          <w:rFonts w:hint="eastAsia" w:ascii="仿宋_GB2312" w:hAnsi="仿宋" w:eastAsia="仿宋_GB2312" w:cs="宋体"/>
          <w:kern w:val="0"/>
          <w:sz w:val="32"/>
          <w:szCs w:val="32"/>
          <w:lang w:eastAsia="zh-CN"/>
        </w:rPr>
        <w:t>促进社会和谐稳定，彰显了检察温度。</w:t>
      </w:r>
    </w:p>
    <w:p>
      <w:pPr>
        <w:pageBreakBefore w:val="0"/>
        <w:kinsoku/>
        <w:wordWrap/>
        <w:overflowPunct/>
        <w:topLinePunct w:val="0"/>
        <w:bidi w:val="0"/>
        <w:adjustRightInd w:val="0"/>
        <w:snapToGrid w:val="0"/>
        <w:spacing w:line="560" w:lineRule="exact"/>
        <w:ind w:firstLine="720"/>
        <w:textAlignment w:val="auto"/>
        <w:rPr>
          <w:rFonts w:ascii="黑体" w:hAnsi="宋体" w:eastAsia="黑体"/>
          <w:sz w:val="32"/>
          <w:szCs w:val="32"/>
        </w:rPr>
      </w:pPr>
      <w:r>
        <w:rPr>
          <w:rFonts w:hint="eastAsia" w:ascii="黑体" w:hAnsi="宋体" w:eastAsia="黑体"/>
          <w:sz w:val="32"/>
          <w:szCs w:val="32"/>
        </w:rPr>
        <w:t>五、评价结论及建议</w:t>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widowControl/>
        <w:spacing w:line="600" w:lineRule="exact"/>
        <w:ind w:firstLine="640" w:firstLineChars="200"/>
        <w:jc w:val="left"/>
        <w:rPr>
          <w:rFonts w:hint="eastAsia" w:ascii="仿宋_GB2312" w:hAnsi="宋体" w:eastAsia="仿宋_GB2312" w:cs="宋体"/>
          <w:kern w:val="0"/>
          <w:sz w:val="32"/>
          <w:szCs w:val="32"/>
        </w:rPr>
      </w:pPr>
      <w:r>
        <w:rPr>
          <w:rFonts w:hint="eastAsia" w:ascii="仿宋_GB2312" w:hAnsi="仿宋_GB2312" w:eastAsia="仿宋_GB2312" w:cs="仿宋_GB2312"/>
          <w:sz w:val="32"/>
          <w:szCs w:val="32"/>
          <w:lang w:eastAsia="zh-CN"/>
        </w:rPr>
        <w:t>我院</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项目实施，</w:t>
      </w:r>
      <w:r>
        <w:rPr>
          <w:rFonts w:hint="eastAsia" w:ascii="仿宋_GB2312" w:hAnsi="宋体" w:eastAsia="仿宋_GB2312" w:cs="仿宋_GB2312"/>
          <w:i w:val="0"/>
          <w:caps w:val="0"/>
          <w:color w:val="000000"/>
          <w:spacing w:val="0"/>
          <w:sz w:val="32"/>
          <w:szCs w:val="32"/>
          <w:shd w:val="clear" w:fill="FFFFFF"/>
        </w:rPr>
        <w:t>有利于彰显国家人文关怀，维护社会公平正义。司法救助资金主要用于</w:t>
      </w:r>
      <w:r>
        <w:rPr>
          <w:rFonts w:hint="eastAsia" w:ascii="仿宋_GB2312" w:hAnsi="宋体" w:eastAsia="仿宋_GB2312" w:cs="宋体"/>
          <w:kern w:val="0"/>
          <w:sz w:val="32"/>
          <w:szCs w:val="32"/>
        </w:rPr>
        <w:t>是</w:t>
      </w:r>
      <w:r>
        <w:rPr>
          <w:rFonts w:hint="eastAsia" w:ascii="仿宋_GB2312" w:hAnsi="宋体" w:eastAsia="仿宋_GB2312" w:cs="宋体"/>
          <w:kern w:val="0"/>
          <w:sz w:val="32"/>
          <w:szCs w:val="32"/>
          <w:lang w:eastAsia="zh-CN"/>
        </w:rPr>
        <w:t>帮助</w:t>
      </w:r>
      <w:r>
        <w:rPr>
          <w:rFonts w:hint="eastAsia" w:ascii="仿宋_GB2312" w:hAnsi="宋体" w:eastAsia="仿宋_GB2312" w:cs="宋体"/>
          <w:kern w:val="0"/>
          <w:sz w:val="32"/>
          <w:szCs w:val="32"/>
        </w:rPr>
        <w:t>遭受犯罪侵害或者民事侵权，无法通过诉讼获得有效赔偿，生活面临急迫困难的当事人</w:t>
      </w:r>
      <w:r>
        <w:rPr>
          <w:rFonts w:hint="eastAsia" w:ascii="仿宋_GB2312" w:hAnsi="宋体" w:eastAsia="仿宋_GB2312" w:cs="仿宋_GB2312"/>
          <w:i w:val="0"/>
          <w:caps w:val="0"/>
          <w:color w:val="000000"/>
          <w:spacing w:val="0"/>
          <w:sz w:val="32"/>
          <w:szCs w:val="32"/>
          <w:shd w:val="clear" w:fill="FFFFFF"/>
        </w:rPr>
        <w:t>或其近亲属摆脱困境，改善</w:t>
      </w:r>
      <w:r>
        <w:rPr>
          <w:rFonts w:hint="eastAsia" w:ascii="仿宋_GB2312" w:hAnsi="宋体" w:eastAsia="仿宋_GB2312" w:cs="仿宋_GB2312"/>
          <w:i w:val="0"/>
          <w:caps w:val="0"/>
          <w:color w:val="000000"/>
          <w:spacing w:val="0"/>
          <w:sz w:val="32"/>
          <w:szCs w:val="32"/>
          <w:shd w:val="clear" w:fill="FFFFFF"/>
          <w:lang w:eastAsia="zh-CN"/>
        </w:rPr>
        <w:t>其</w:t>
      </w:r>
      <w:r>
        <w:rPr>
          <w:rFonts w:hint="eastAsia" w:ascii="仿宋_GB2312" w:hAnsi="宋体" w:eastAsia="仿宋_GB2312" w:cs="仿宋_GB2312"/>
          <w:i w:val="0"/>
          <w:caps w:val="0"/>
          <w:color w:val="000000"/>
          <w:spacing w:val="0"/>
          <w:sz w:val="32"/>
          <w:szCs w:val="32"/>
          <w:shd w:val="clear" w:fill="FFFFFF"/>
        </w:rPr>
        <w:t>生产生活状况</w:t>
      </w:r>
      <w:r>
        <w:rPr>
          <w:rFonts w:hint="eastAsia" w:ascii="仿宋_GB2312" w:hAnsi="宋体" w:eastAsia="仿宋_GB2312" w:cs="宋体"/>
          <w:kern w:val="0"/>
          <w:sz w:val="32"/>
          <w:szCs w:val="32"/>
        </w:rPr>
        <w:t>。</w:t>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lang w:val="zh-CN"/>
        </w:rPr>
      </w:pPr>
      <w:r>
        <w:rPr>
          <w:rFonts w:hint="eastAsia" w:ascii="仿宋_GB2312" w:hAnsi="Calibri" w:eastAsia="仿宋_GB2312" w:cs="仿宋"/>
          <w:color w:val="000000"/>
          <w:sz w:val="32"/>
          <w:szCs w:val="32"/>
          <w:lang w:eastAsia="zh-CN"/>
        </w:rPr>
        <w:t>缺乏对司法救助制度的宣传，当事人对司法救助制度了解甚少。</w:t>
      </w:r>
    </w:p>
    <w:p>
      <w:pPr>
        <w:pageBreakBefore w:val="0"/>
        <w:kinsoku/>
        <w:wordWrap/>
        <w:overflowPunct/>
        <w:topLinePunct w:val="0"/>
        <w:bidi w:val="0"/>
        <w:adjustRightInd w:val="0"/>
        <w:snapToGrid w:val="0"/>
        <w:spacing w:line="560" w:lineRule="exact"/>
        <w:ind w:firstLine="720"/>
        <w:textAlignment w:val="auto"/>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仿宋"/>
          <w:color w:val="000000"/>
          <w:sz w:val="32"/>
          <w:szCs w:val="32"/>
        </w:rPr>
      </w:pPr>
      <w:r>
        <w:rPr>
          <w:rFonts w:hint="eastAsia" w:ascii="仿宋_GB2312" w:hAnsi="宋体" w:eastAsia="仿宋_GB2312" w:cs="仿宋_GB2312"/>
          <w:i w:val="0"/>
          <w:caps w:val="0"/>
          <w:color w:val="000000"/>
          <w:spacing w:val="0"/>
          <w:sz w:val="32"/>
          <w:szCs w:val="32"/>
          <w:shd w:val="clear" w:fill="FFFFFF"/>
          <w:lang w:eastAsia="zh-CN"/>
        </w:rPr>
        <w:t>加强</w:t>
      </w:r>
      <w:r>
        <w:rPr>
          <w:rFonts w:hint="eastAsia" w:ascii="仿宋_GB2312" w:hAnsi="宋体" w:eastAsia="仿宋_GB2312" w:cs="仿宋_GB2312"/>
          <w:i w:val="0"/>
          <w:caps w:val="0"/>
          <w:color w:val="000000"/>
          <w:spacing w:val="0"/>
          <w:sz w:val="32"/>
          <w:szCs w:val="32"/>
          <w:shd w:val="clear" w:fill="FFFFFF"/>
        </w:rPr>
        <w:t>司法救助</w:t>
      </w:r>
      <w:r>
        <w:rPr>
          <w:rFonts w:hint="eastAsia" w:ascii="仿宋_GB2312" w:hAnsi="宋体" w:eastAsia="仿宋_GB2312" w:cs="仿宋_GB2312"/>
          <w:i w:val="0"/>
          <w:caps w:val="0"/>
          <w:color w:val="000000"/>
          <w:spacing w:val="0"/>
          <w:sz w:val="32"/>
          <w:szCs w:val="32"/>
          <w:shd w:val="clear" w:fill="FFFFFF"/>
          <w:lang w:eastAsia="zh-CN"/>
        </w:rPr>
        <w:t>制度</w:t>
      </w:r>
      <w:r>
        <w:rPr>
          <w:rFonts w:hint="eastAsia" w:ascii="仿宋_GB2312" w:hAnsi="宋体" w:eastAsia="仿宋_GB2312" w:cs="仿宋_GB2312"/>
          <w:i w:val="0"/>
          <w:caps w:val="0"/>
          <w:color w:val="000000"/>
          <w:spacing w:val="0"/>
          <w:sz w:val="32"/>
          <w:szCs w:val="32"/>
          <w:shd w:val="clear" w:fill="FFFFFF"/>
        </w:rPr>
        <w:t>宣传</w:t>
      </w:r>
      <w:r>
        <w:rPr>
          <w:rFonts w:hint="eastAsia" w:ascii="仿宋_GB2312" w:hAnsi="宋体" w:eastAsia="仿宋_GB2312" w:cs="仿宋_GB2312"/>
          <w:i w:val="0"/>
          <w:caps w:val="0"/>
          <w:color w:val="000000"/>
          <w:spacing w:val="0"/>
          <w:sz w:val="32"/>
          <w:szCs w:val="32"/>
          <w:shd w:val="clear" w:fill="FFFFFF"/>
          <w:lang w:eastAsia="zh-CN"/>
        </w:rPr>
        <w:t>工作的力度。</w:t>
      </w:r>
    </w:p>
    <w:p>
      <w:pPr>
        <w:pageBreakBefore w:val="0"/>
        <w:kinsoku/>
        <w:wordWrap/>
        <w:overflowPunct/>
        <w:topLinePunct w:val="0"/>
        <w:bidi w:val="0"/>
        <w:adjustRightInd w:val="0"/>
        <w:snapToGrid w:val="0"/>
        <w:spacing w:line="560" w:lineRule="exact"/>
        <w:ind w:firstLine="640" w:firstLineChars="200"/>
        <w:textAlignment w:val="auto"/>
        <w:rPr>
          <w:rFonts w:ascii="仿宋_GB2312" w:hAnsi="宋体" w:eastAsia="仿宋_GB2312"/>
          <w:sz w:val="32"/>
          <w:szCs w:val="32"/>
          <w:lang w:val="zh-CN"/>
        </w:rPr>
      </w:pPr>
    </w:p>
    <w:p>
      <w:pPr>
        <w:pageBreakBefore w:val="0"/>
        <w:kinsoku/>
        <w:wordWrap/>
        <w:overflowPunct/>
        <w:topLinePunct w:val="0"/>
        <w:bidi w:val="0"/>
        <w:spacing w:line="560" w:lineRule="exact"/>
        <w:ind w:firstLine="640"/>
        <w:textAlignment w:val="auto"/>
        <w:rPr>
          <w:rFonts w:ascii="仿宋_GB2312" w:hAnsi="仿宋_GB2312" w:eastAsia="仿宋_GB2312" w:cs="仿宋_GB2312"/>
          <w:sz w:val="32"/>
          <w:szCs w:val="32"/>
        </w:rPr>
      </w:pPr>
    </w:p>
    <w:p>
      <w:pPr>
        <w:pageBreakBefore w:val="0"/>
        <w:widowControl/>
        <w:kinsoku/>
        <w:wordWrap/>
        <w:overflowPunct/>
        <w:topLinePunct w:val="0"/>
        <w:bidi w:val="0"/>
        <w:spacing w:line="560" w:lineRule="exact"/>
        <w:jc w:val="left"/>
        <w:textAlignment w:val="auto"/>
        <w:rPr>
          <w:rStyle w:val="25"/>
          <w:rFonts w:ascii="黑体" w:hAnsi="黑体" w:eastAsia="黑体"/>
          <w:b w:val="0"/>
        </w:rPr>
      </w:pPr>
      <w:r>
        <w:rPr>
          <w:rStyle w:val="25"/>
          <w:rFonts w:ascii="黑体" w:hAnsi="黑体" w:eastAsia="黑体"/>
          <w:b w:val="0"/>
        </w:rPr>
        <w:br w:type="page"/>
      </w:r>
    </w:p>
    <w:p>
      <w:pPr>
        <w:pageBreakBefore w:val="0"/>
        <w:kinsoku/>
        <w:wordWrap/>
        <w:overflowPunct/>
        <w:topLinePunct w:val="0"/>
        <w:bidi w:val="0"/>
        <w:spacing w:line="560" w:lineRule="exact"/>
        <w:jc w:val="center"/>
        <w:textAlignment w:val="auto"/>
        <w:outlineLvl w:val="0"/>
        <w:rPr>
          <w:rStyle w:val="25"/>
          <w:rFonts w:ascii="黑体" w:hAnsi="黑体" w:eastAsia="黑体"/>
          <w:b w:val="0"/>
        </w:rPr>
      </w:pPr>
    </w:p>
    <w:p>
      <w:pPr>
        <w:pageBreakBefore w:val="0"/>
        <w:kinsoku/>
        <w:wordWrap/>
        <w:overflowPunct/>
        <w:topLinePunct w:val="0"/>
        <w:bidi w:val="0"/>
        <w:spacing w:line="560" w:lineRule="exact"/>
        <w:jc w:val="center"/>
        <w:textAlignment w:val="auto"/>
        <w:outlineLvl w:val="0"/>
        <w:rPr>
          <w:rStyle w:val="25"/>
          <w:rFonts w:ascii="黑体" w:hAnsi="黑体" w:eastAsia="黑体"/>
          <w:b w:val="0"/>
        </w:rPr>
      </w:pPr>
      <w:bookmarkStart w:id="56"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4"/>
      <w:bookmarkEnd w:id="56"/>
    </w:p>
    <w:p>
      <w:pPr>
        <w:pageBreakBefore w:val="0"/>
        <w:kinsoku/>
        <w:wordWrap/>
        <w:overflowPunct/>
        <w:topLinePunct w:val="0"/>
        <w:bidi w:val="0"/>
        <w:spacing w:line="560" w:lineRule="exact"/>
        <w:jc w:val="center"/>
        <w:textAlignment w:val="auto"/>
        <w:outlineLvl w:val="0"/>
        <w:rPr>
          <w:rFonts w:ascii="仿宋" w:hAnsi="仿宋" w:eastAsia="仿宋"/>
          <w:b/>
          <w:color w:val="000000"/>
          <w:sz w:val="44"/>
          <w:szCs w:val="44"/>
        </w:rPr>
      </w:pPr>
    </w:p>
    <w:p>
      <w:pPr>
        <w:pStyle w:val="3"/>
        <w:pageBreakBefore w:val="0"/>
        <w:kinsoku/>
        <w:wordWrap/>
        <w:overflowPunct/>
        <w:topLinePunct w:val="0"/>
        <w:bidi w:val="0"/>
        <w:spacing w:line="560" w:lineRule="exact"/>
        <w:textAlignment w:val="auto"/>
        <w:rPr>
          <w:rFonts w:ascii="仿宋" w:hAnsi="仿宋" w:eastAsia="仿宋"/>
          <w:color w:val="000000"/>
        </w:rPr>
      </w:pPr>
      <w:bookmarkStart w:id="57"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57"/>
    </w:p>
    <w:p>
      <w:pPr>
        <w:pStyle w:val="3"/>
        <w:pageBreakBefore w:val="0"/>
        <w:kinsoku/>
        <w:wordWrap/>
        <w:overflowPunct/>
        <w:topLinePunct w:val="0"/>
        <w:bidi w:val="0"/>
        <w:spacing w:line="560" w:lineRule="exact"/>
        <w:textAlignment w:val="auto"/>
        <w:rPr>
          <w:rFonts w:ascii="仿宋" w:hAnsi="仿宋" w:eastAsia="仿宋"/>
          <w:color w:val="000000"/>
        </w:rPr>
      </w:pPr>
      <w:bookmarkStart w:id="58"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58"/>
    </w:p>
    <w:p>
      <w:pPr>
        <w:pStyle w:val="3"/>
        <w:pageBreakBefore w:val="0"/>
        <w:kinsoku/>
        <w:wordWrap/>
        <w:overflowPunct/>
        <w:topLinePunct w:val="0"/>
        <w:bidi w:val="0"/>
        <w:spacing w:line="560" w:lineRule="exact"/>
        <w:textAlignment w:val="auto"/>
        <w:rPr>
          <w:rFonts w:ascii="仿宋" w:hAnsi="仿宋" w:eastAsia="仿宋"/>
          <w:color w:val="000000"/>
        </w:rPr>
      </w:pPr>
      <w:bookmarkStart w:id="59"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59"/>
    </w:p>
    <w:p>
      <w:pPr>
        <w:pStyle w:val="3"/>
        <w:pageBreakBefore w:val="0"/>
        <w:kinsoku/>
        <w:wordWrap/>
        <w:overflowPunct/>
        <w:topLinePunct w:val="0"/>
        <w:bidi w:val="0"/>
        <w:spacing w:line="560" w:lineRule="exact"/>
        <w:textAlignment w:val="auto"/>
        <w:rPr>
          <w:rFonts w:ascii="仿宋" w:hAnsi="仿宋" w:eastAsia="仿宋"/>
          <w:b w:val="0"/>
          <w:color w:val="000000"/>
        </w:rPr>
      </w:pPr>
      <w:bookmarkStart w:id="60"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0"/>
    </w:p>
    <w:p>
      <w:pPr>
        <w:pStyle w:val="3"/>
        <w:pageBreakBefore w:val="0"/>
        <w:kinsoku/>
        <w:wordWrap/>
        <w:overflowPunct/>
        <w:topLinePunct w:val="0"/>
        <w:bidi w:val="0"/>
        <w:spacing w:line="560" w:lineRule="exact"/>
        <w:textAlignment w:val="auto"/>
        <w:rPr>
          <w:rStyle w:val="26"/>
          <w:rFonts w:ascii="仿宋" w:hAnsi="仿宋" w:eastAsia="仿宋"/>
          <w:b w:val="0"/>
          <w:bCs w:val="0"/>
        </w:rPr>
      </w:pPr>
      <w:bookmarkStart w:id="61"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1"/>
      <w:bookmarkStart w:id="62" w:name="_Toc15396624"/>
    </w:p>
    <w:p>
      <w:pPr>
        <w:pStyle w:val="3"/>
        <w:pageBreakBefore w:val="0"/>
        <w:kinsoku/>
        <w:wordWrap/>
        <w:overflowPunct/>
        <w:topLinePunct w:val="0"/>
        <w:bidi w:val="0"/>
        <w:spacing w:line="560" w:lineRule="exact"/>
        <w:textAlignment w:val="auto"/>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2"/>
    </w:p>
    <w:p>
      <w:pPr>
        <w:pStyle w:val="3"/>
        <w:pageBreakBefore w:val="0"/>
        <w:kinsoku/>
        <w:wordWrap/>
        <w:overflowPunct/>
        <w:topLinePunct w:val="0"/>
        <w:bidi w:val="0"/>
        <w:spacing w:line="560" w:lineRule="exact"/>
        <w:textAlignment w:val="auto"/>
        <w:rPr>
          <w:rFonts w:ascii="仿宋" w:hAnsi="仿宋" w:eastAsia="仿宋"/>
          <w:color w:val="000000"/>
        </w:rPr>
      </w:pPr>
      <w:bookmarkStart w:id="63"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3"/>
    </w:p>
    <w:p>
      <w:pPr>
        <w:pStyle w:val="3"/>
        <w:pageBreakBefore w:val="0"/>
        <w:kinsoku/>
        <w:wordWrap/>
        <w:overflowPunct/>
        <w:topLinePunct w:val="0"/>
        <w:bidi w:val="0"/>
        <w:spacing w:line="560" w:lineRule="exact"/>
        <w:textAlignment w:val="auto"/>
        <w:rPr>
          <w:rFonts w:ascii="仿宋" w:hAnsi="仿宋" w:eastAsia="仿宋"/>
          <w:color w:val="000000"/>
        </w:rPr>
      </w:pPr>
      <w:bookmarkStart w:id="64"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4"/>
    </w:p>
    <w:p>
      <w:pPr>
        <w:pStyle w:val="3"/>
        <w:pageBreakBefore w:val="0"/>
        <w:kinsoku/>
        <w:wordWrap/>
        <w:overflowPunct/>
        <w:topLinePunct w:val="0"/>
        <w:bidi w:val="0"/>
        <w:spacing w:line="560" w:lineRule="exact"/>
        <w:textAlignment w:val="auto"/>
        <w:rPr>
          <w:rFonts w:ascii="仿宋" w:hAnsi="仿宋" w:eastAsia="仿宋"/>
          <w:color w:val="000000"/>
        </w:rPr>
      </w:pPr>
      <w:bookmarkStart w:id="65"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5"/>
    </w:p>
    <w:p>
      <w:pPr>
        <w:pStyle w:val="3"/>
        <w:pageBreakBefore w:val="0"/>
        <w:kinsoku/>
        <w:wordWrap/>
        <w:overflowPunct/>
        <w:topLinePunct w:val="0"/>
        <w:bidi w:val="0"/>
        <w:spacing w:line="560" w:lineRule="exact"/>
        <w:textAlignment w:val="auto"/>
        <w:rPr>
          <w:rFonts w:ascii="仿宋" w:hAnsi="仿宋" w:eastAsia="仿宋"/>
          <w:color w:val="000000"/>
        </w:rPr>
      </w:pPr>
      <w:bookmarkStart w:id="66"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6"/>
    </w:p>
    <w:p>
      <w:pPr>
        <w:pStyle w:val="3"/>
        <w:pageBreakBefore w:val="0"/>
        <w:kinsoku/>
        <w:wordWrap/>
        <w:overflowPunct/>
        <w:topLinePunct w:val="0"/>
        <w:bidi w:val="0"/>
        <w:spacing w:line="560" w:lineRule="exact"/>
        <w:textAlignment w:val="auto"/>
        <w:rPr>
          <w:rFonts w:ascii="仿宋" w:hAnsi="仿宋" w:eastAsia="仿宋"/>
          <w:color w:val="000000"/>
        </w:rPr>
      </w:pPr>
      <w:bookmarkStart w:id="67"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67"/>
    </w:p>
    <w:p>
      <w:pPr>
        <w:pStyle w:val="3"/>
        <w:pageBreakBefore w:val="0"/>
        <w:kinsoku/>
        <w:wordWrap/>
        <w:overflowPunct/>
        <w:topLinePunct w:val="0"/>
        <w:bidi w:val="0"/>
        <w:spacing w:line="560" w:lineRule="exact"/>
        <w:textAlignment w:val="auto"/>
        <w:rPr>
          <w:rFonts w:ascii="仿宋" w:hAnsi="仿宋" w:eastAsia="仿宋"/>
          <w:color w:val="000000"/>
        </w:rPr>
      </w:pPr>
      <w:bookmarkStart w:id="68"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68"/>
    </w:p>
    <w:p>
      <w:pPr>
        <w:pStyle w:val="3"/>
        <w:pageBreakBefore w:val="0"/>
        <w:kinsoku/>
        <w:wordWrap/>
        <w:overflowPunct/>
        <w:topLinePunct w:val="0"/>
        <w:bidi w:val="0"/>
        <w:spacing w:line="560" w:lineRule="exact"/>
        <w:textAlignment w:val="auto"/>
        <w:rPr>
          <w:rFonts w:ascii="仿宋" w:hAnsi="仿宋" w:eastAsia="仿宋"/>
          <w:color w:val="000000" w:themeColor="text1"/>
          <w14:textFill>
            <w14:solidFill>
              <w14:schemeClr w14:val="tx1"/>
            </w14:solidFill>
          </w14:textFill>
        </w:rPr>
      </w:pPr>
      <w:bookmarkStart w:id="69"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6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031038"/>
    <w:multiLevelType w:val="singleLevel"/>
    <w:tmpl w:val="93031038"/>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6619"/>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AF37A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179F5"/>
    <w:rsid w:val="00D20620"/>
    <w:rsid w:val="00D2207C"/>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DF7548"/>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EF65C2"/>
    <w:rsid w:val="070F1A98"/>
    <w:rsid w:val="07A62935"/>
    <w:rsid w:val="07FB464B"/>
    <w:rsid w:val="09783895"/>
    <w:rsid w:val="09E73710"/>
    <w:rsid w:val="0E396E51"/>
    <w:rsid w:val="0EB132D3"/>
    <w:rsid w:val="10C055FF"/>
    <w:rsid w:val="11552894"/>
    <w:rsid w:val="12175F18"/>
    <w:rsid w:val="156447D0"/>
    <w:rsid w:val="16BB723D"/>
    <w:rsid w:val="1B3B0D5F"/>
    <w:rsid w:val="1BA3286D"/>
    <w:rsid w:val="1CA67DED"/>
    <w:rsid w:val="1E1365D6"/>
    <w:rsid w:val="1F4E72C2"/>
    <w:rsid w:val="1FFC1E87"/>
    <w:rsid w:val="216876E5"/>
    <w:rsid w:val="23BC2A14"/>
    <w:rsid w:val="240371BF"/>
    <w:rsid w:val="2510580D"/>
    <w:rsid w:val="28EC5EFA"/>
    <w:rsid w:val="292955A4"/>
    <w:rsid w:val="29FD04D3"/>
    <w:rsid w:val="2B712572"/>
    <w:rsid w:val="2E285A90"/>
    <w:rsid w:val="2E3920F2"/>
    <w:rsid w:val="2E7D0D79"/>
    <w:rsid w:val="2FB61D00"/>
    <w:rsid w:val="30B642FE"/>
    <w:rsid w:val="319F7F4E"/>
    <w:rsid w:val="36F23734"/>
    <w:rsid w:val="38A46ADA"/>
    <w:rsid w:val="3D0A52F8"/>
    <w:rsid w:val="3D3E519B"/>
    <w:rsid w:val="3E6E6DE2"/>
    <w:rsid w:val="3E723DB2"/>
    <w:rsid w:val="3FAD323A"/>
    <w:rsid w:val="429773B5"/>
    <w:rsid w:val="43A7169C"/>
    <w:rsid w:val="460B1D57"/>
    <w:rsid w:val="46CE622B"/>
    <w:rsid w:val="47C76213"/>
    <w:rsid w:val="48112722"/>
    <w:rsid w:val="48A05F89"/>
    <w:rsid w:val="49C52D7A"/>
    <w:rsid w:val="4ECE2238"/>
    <w:rsid w:val="50297A99"/>
    <w:rsid w:val="5233520E"/>
    <w:rsid w:val="575824C6"/>
    <w:rsid w:val="58C87628"/>
    <w:rsid w:val="59025E94"/>
    <w:rsid w:val="598842ED"/>
    <w:rsid w:val="5A512F56"/>
    <w:rsid w:val="5C8728D2"/>
    <w:rsid w:val="5F112DD2"/>
    <w:rsid w:val="5F663956"/>
    <w:rsid w:val="60AB5F0E"/>
    <w:rsid w:val="625A1129"/>
    <w:rsid w:val="63A73F5B"/>
    <w:rsid w:val="66C46F33"/>
    <w:rsid w:val="66D23570"/>
    <w:rsid w:val="6D941B1B"/>
    <w:rsid w:val="72734D90"/>
    <w:rsid w:val="73C1278E"/>
    <w:rsid w:val="759A2D8D"/>
    <w:rsid w:val="767F2587"/>
    <w:rsid w:val="7854405D"/>
    <w:rsid w:val="7C434A70"/>
    <w:rsid w:val="7D415443"/>
    <w:rsid w:val="7FA23F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字符"/>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字符"/>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字符"/>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字符"/>
    <w:basedOn w:val="14"/>
    <w:link w:val="2"/>
    <w:qFormat/>
    <w:uiPriority w:val="9"/>
    <w:rPr>
      <w:rFonts w:ascii="Times New Roman" w:hAnsi="Times New Roman"/>
      <w:b/>
      <w:bCs/>
      <w:kern w:val="44"/>
      <w:sz w:val="44"/>
      <w:szCs w:val="44"/>
    </w:rPr>
  </w:style>
  <w:style w:type="character" w:customStyle="1" w:styleId="26">
    <w:name w:val="标题 2 字符"/>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字符"/>
    <w:basedOn w:val="14"/>
    <w:link w:val="7"/>
    <w:semiHidden/>
    <w:qFormat/>
    <w:uiPriority w:val="99"/>
    <w:rPr>
      <w:rFonts w:ascii="Times New Roman" w:hAnsi="Times New Roman"/>
      <w:kern w:val="2"/>
      <w:sz w:val="18"/>
      <w:szCs w:val="18"/>
    </w:rPr>
  </w:style>
  <w:style w:type="character" w:customStyle="1" w:styleId="29">
    <w:name w:val="标题 3 字符"/>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收入决算总计变动情况图</a:t>
            </a:r>
            <a:r>
              <a:rPr lang="en-US" altLang="zh-CN"/>
              <a:t>(</a:t>
            </a:r>
            <a:r>
              <a:rPr altLang="zh-CN"/>
              <a:t>单位：万元）</a:t>
            </a:r>
            <a:endParaRPr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收入总计</c:v>
                </c:pt>
              </c:strCache>
            </c:strRef>
          </c:tx>
          <c:spPr>
            <a:solidFill>
              <a:schemeClr val="accent1"/>
            </a:solidFill>
            <a:ln>
              <a:noFill/>
            </a:ln>
            <a:effectLst/>
          </c:spPr>
          <c:invertIfNegative val="0"/>
          <c:dLbls>
            <c:delete val="1"/>
          </c:dLbls>
          <c:cat>
            <c:strRef>
              <c:f>Sheet1!$A$2:$A$3</c:f>
              <c:strCache>
                <c:ptCount val="2"/>
                <c:pt idx="0">
                  <c:v>2018年收入</c:v>
                </c:pt>
                <c:pt idx="1">
                  <c:v>2019年收入</c:v>
                </c:pt>
              </c:strCache>
            </c:strRef>
          </c:cat>
          <c:val>
            <c:numRef>
              <c:f>Sheet1!$B$2:$B$3</c:f>
              <c:numCache>
                <c:formatCode>General</c:formatCode>
                <c:ptCount val="2"/>
                <c:pt idx="0">
                  <c:v>825.08</c:v>
                </c:pt>
                <c:pt idx="1">
                  <c:v>904.18</c:v>
                </c:pt>
              </c:numCache>
            </c:numRef>
          </c:val>
        </c:ser>
        <c:dLbls>
          <c:showLegendKey val="0"/>
          <c:showVal val="0"/>
          <c:showCatName val="0"/>
          <c:showSerName val="0"/>
          <c:showPercent val="0"/>
          <c:showBubbleSize val="0"/>
        </c:dLbls>
        <c:gapWidth val="219"/>
        <c:overlap val="-27"/>
        <c:axId val="948180766"/>
        <c:axId val="300437644"/>
      </c:barChart>
      <c:catAx>
        <c:axId val="94818076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0437644"/>
        <c:crosses val="autoZero"/>
        <c:auto val="1"/>
        <c:lblAlgn val="ctr"/>
        <c:lblOffset val="100"/>
        <c:noMultiLvlLbl val="0"/>
      </c:catAx>
      <c:valAx>
        <c:axId val="3004376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818076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支出决算总计变动情况图（单位：万元）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支出总计</c:v>
                </c:pt>
              </c:strCache>
            </c:strRef>
          </c:tx>
          <c:spPr>
            <a:solidFill>
              <a:schemeClr val="accent6"/>
            </a:solidFill>
            <a:ln>
              <a:noFill/>
            </a:ln>
            <a:effectLst/>
          </c:spPr>
          <c:invertIfNegative val="0"/>
          <c:dLbls>
            <c:delete val="1"/>
          </c:dLbls>
          <c:cat>
            <c:strRef>
              <c:f>Sheet1!$A$2:$A$3</c:f>
              <c:strCache>
                <c:ptCount val="2"/>
                <c:pt idx="0">
                  <c:v>2018年</c:v>
                </c:pt>
                <c:pt idx="1">
                  <c:v>2019年</c:v>
                </c:pt>
              </c:strCache>
            </c:strRef>
          </c:cat>
          <c:val>
            <c:numRef>
              <c:f>Sheet1!$B$2:$B$3</c:f>
              <c:numCache>
                <c:formatCode>General</c:formatCode>
                <c:ptCount val="2"/>
                <c:pt idx="0">
                  <c:v>948.18</c:v>
                </c:pt>
                <c:pt idx="1">
                  <c:v>845.98</c:v>
                </c:pt>
              </c:numCache>
            </c:numRef>
          </c:val>
        </c:ser>
        <c:dLbls>
          <c:showLegendKey val="0"/>
          <c:showVal val="0"/>
          <c:showCatName val="0"/>
          <c:showSerName val="0"/>
          <c:showPercent val="0"/>
          <c:showBubbleSize val="0"/>
        </c:dLbls>
        <c:gapWidth val="219"/>
        <c:overlap val="-27"/>
        <c:axId val="241751456"/>
        <c:axId val="825235628"/>
      </c:barChart>
      <c:catAx>
        <c:axId val="2417514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5235628"/>
        <c:crosses val="autoZero"/>
        <c:auto val="1"/>
        <c:lblAlgn val="ctr"/>
        <c:lblOffset val="100"/>
        <c:noMultiLvlLbl val="0"/>
      </c:catAx>
      <c:valAx>
        <c:axId val="8252356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175145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Lbls>
            <c:dLbl>
              <c:idx val="0"/>
              <c:layout>
                <c:manualLayout>
                  <c:x val="0.0243544203212476"/>
                  <c:y val="-0.231680511585067"/>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88049853372434"/>
                      <c:h val="0.0713734567901235"/>
                    </c:manualLayout>
                  </c15:layout>
                </c:ext>
              </c:extLst>
            </c:dLbl>
            <c:spPr>
              <a:noFill/>
              <a:ln>
                <a:noFill/>
              </a:ln>
              <a:effectLst/>
            </c:spPr>
            <c:txPr>
              <a:bodyPr rot="0" spcFirstLastPara="0" vertOverflow="ellipsis" vert="horz" wrap="square" lIns="38100" tIns="19050" rIns="38100" bIns="19050" anchor="ctr" anchorCtr="1"/>
              <a:lstStyle/>
              <a:p>
                <a:pPr>
                  <a:defRPr lang="zh-CN" sz="20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0%</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205452183781131"/>
          <c:y val="0.92994569835369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68208707499902"/>
                  <c:y val="-0.20636000303093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20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127625"/>
                      <c:h val="0.083"/>
                    </c:manualLayout>
                  </c15:layout>
                </c:ext>
              </c:extLst>
            </c:dLbl>
            <c:dLbl>
              <c:idx val="1"/>
              <c:layout>
                <c:manualLayout>
                  <c:x val="0.114208699416747"/>
                  <c:y val="0.21736000764009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20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127375"/>
                      <c:h val="0.2295"/>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c:formatCode>
                <c:ptCount val="2"/>
                <c:pt idx="0">
                  <c:v>0.8</c:v>
                </c:pt>
                <c:pt idx="1">
                  <c:v>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财政拨款收入决算总计变动情况（单位：万元）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财政拨款收入总计</c:v>
                </c:pt>
              </c:strCache>
            </c:strRef>
          </c:tx>
          <c:spPr>
            <a:solidFill>
              <a:schemeClr val="accent1"/>
            </a:solidFill>
            <a:ln w="19050">
              <a:solidFill>
                <a:schemeClr val="lt1"/>
              </a:solidFill>
            </a:ln>
            <a:effectLst/>
          </c:spPr>
          <c:invertIfNegative val="0"/>
          <c:dLbls>
            <c:delete val="1"/>
          </c:dLbls>
          <c:cat>
            <c:strRef>
              <c:f>Sheet1!$A$2:$A$3</c:f>
              <c:strCache>
                <c:ptCount val="2"/>
                <c:pt idx="0">
                  <c:v>2018年</c:v>
                </c:pt>
                <c:pt idx="1">
                  <c:v>2019年</c:v>
                </c:pt>
              </c:strCache>
            </c:strRef>
          </c:cat>
          <c:val>
            <c:numRef>
              <c:f>Sheet1!$B$2:$B$3</c:f>
              <c:numCache>
                <c:formatCode>General</c:formatCode>
                <c:ptCount val="2"/>
                <c:pt idx="0">
                  <c:v>825.08</c:v>
                </c:pt>
                <c:pt idx="1">
                  <c:v>904.18</c:v>
                </c:pt>
              </c:numCache>
            </c:numRef>
          </c:val>
        </c:ser>
        <c:dLbls>
          <c:showLegendKey val="0"/>
          <c:showVal val="0"/>
          <c:showCatName val="0"/>
          <c:showSerName val="0"/>
          <c:showPercent val="0"/>
          <c:showBubbleSize val="0"/>
        </c:dLbls>
        <c:gapWidth val="150"/>
        <c:overlap val="0"/>
        <c:axId val="884239745"/>
        <c:axId val="865597954"/>
      </c:barChart>
      <c:catAx>
        <c:axId val="884239745"/>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5597954"/>
        <c:crosses val="autoZero"/>
        <c:auto val="1"/>
        <c:lblAlgn val="ctr"/>
        <c:lblOffset val="100"/>
        <c:noMultiLvlLbl val="0"/>
      </c:catAx>
      <c:valAx>
        <c:axId val="86559795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423974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财政拨款支出决算总计变动情况（单位：万元）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财政拨款支出总计</c:v>
                </c:pt>
              </c:strCache>
            </c:strRef>
          </c:tx>
          <c:spPr>
            <a:solidFill>
              <a:schemeClr val="accent6"/>
            </a:solidFill>
            <a:ln>
              <a:noFill/>
            </a:ln>
            <a:effectLst/>
          </c:spPr>
          <c:invertIfNegative val="0"/>
          <c:dLbls>
            <c:delete val="1"/>
          </c:dLbls>
          <c:cat>
            <c:strRef>
              <c:f>Sheet1!$A$2:$A$3</c:f>
              <c:strCache>
                <c:ptCount val="2"/>
                <c:pt idx="0">
                  <c:v>2018年</c:v>
                </c:pt>
                <c:pt idx="1">
                  <c:v>2019年</c:v>
                </c:pt>
              </c:strCache>
            </c:strRef>
          </c:cat>
          <c:val>
            <c:numRef>
              <c:f>Sheet1!$B$2:$B$3</c:f>
              <c:numCache>
                <c:formatCode>General</c:formatCode>
                <c:ptCount val="2"/>
                <c:pt idx="0">
                  <c:v>948.18</c:v>
                </c:pt>
                <c:pt idx="1">
                  <c:v>845.98</c:v>
                </c:pt>
              </c:numCache>
            </c:numRef>
          </c:val>
        </c:ser>
        <c:dLbls>
          <c:showLegendKey val="0"/>
          <c:showVal val="0"/>
          <c:showCatName val="0"/>
          <c:showSerName val="0"/>
          <c:showPercent val="0"/>
          <c:showBubbleSize val="0"/>
        </c:dLbls>
        <c:gapWidth val="219"/>
        <c:overlap val="-27"/>
        <c:axId val="243901121"/>
        <c:axId val="694702933"/>
      </c:barChart>
      <c:catAx>
        <c:axId val="2439011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4702933"/>
        <c:crosses val="autoZero"/>
        <c:auto val="1"/>
        <c:lblAlgn val="ctr"/>
        <c:lblOffset val="100"/>
        <c:noMultiLvlLbl val="0"/>
      </c:catAx>
      <c:valAx>
        <c:axId val="69470293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390112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solidFill>
                  <a:schemeClr val="tx1">
                    <a:lumMod val="65000"/>
                    <a:lumOff val="35000"/>
                  </a:schemeClr>
                </a:solidFill>
                <a:uFillTx/>
              </a:rPr>
              <a:t>一般公共预算财政拨款支出决算变动情况（单位：万元）</a:t>
            </a:r>
            <a:endParaRPr sz="1200">
              <a:solidFill>
                <a:schemeClr val="tx1">
                  <a:lumMod val="65000"/>
                  <a:lumOff val="35000"/>
                </a:schemeClr>
              </a:solidFill>
              <a:uFillTx/>
            </a:endParaRPr>
          </a:p>
        </c:rich>
      </c:tx>
      <c:layout>
        <c:manualLayout>
          <c:xMode val="edge"/>
          <c:yMode val="edge"/>
          <c:x val="0.108"/>
          <c:y val="0.0226666666666667"/>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一般公共预算财政拨款支出总计</c:v>
                </c:pt>
              </c:strCache>
            </c:strRef>
          </c:tx>
          <c:spPr>
            <a:solidFill>
              <a:schemeClr val="accent1"/>
            </a:solidFill>
            <a:ln>
              <a:noFill/>
            </a:ln>
            <a:effectLst/>
          </c:spPr>
          <c:invertIfNegative val="0"/>
          <c:dLbls>
            <c:delete val="1"/>
          </c:dLbls>
          <c:cat>
            <c:strRef>
              <c:f>Sheet1!$A$2:$A$3</c:f>
              <c:strCache>
                <c:ptCount val="2"/>
                <c:pt idx="0">
                  <c:v>2018年</c:v>
                </c:pt>
                <c:pt idx="1">
                  <c:v>2019年</c:v>
                </c:pt>
              </c:strCache>
            </c:strRef>
          </c:cat>
          <c:val>
            <c:numRef>
              <c:f>Sheet1!$B$2:$B$3</c:f>
              <c:numCache>
                <c:formatCode>General</c:formatCode>
                <c:ptCount val="2"/>
                <c:pt idx="0">
                  <c:v>845.97</c:v>
                </c:pt>
                <c:pt idx="1">
                  <c:v>948.07</c:v>
                </c:pt>
              </c:numCache>
            </c:numRef>
          </c:val>
        </c:ser>
        <c:dLbls>
          <c:showLegendKey val="0"/>
          <c:showVal val="0"/>
          <c:showCatName val="0"/>
          <c:showSerName val="0"/>
          <c:showPercent val="0"/>
          <c:showBubbleSize val="0"/>
        </c:dLbls>
        <c:gapWidth val="219"/>
        <c:overlap val="-27"/>
        <c:axId val="447933173"/>
        <c:axId val="806903109"/>
      </c:barChart>
      <c:catAx>
        <c:axId val="44793317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6903109"/>
        <c:crosses val="autoZero"/>
        <c:auto val="1"/>
        <c:lblAlgn val="ctr"/>
        <c:lblOffset val="100"/>
        <c:noMultiLvlLbl val="0"/>
      </c:catAx>
      <c:valAx>
        <c:axId val="80690310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79331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0.0343187014727434"/>
                  <c:y val="0.091063500092315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4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公共安全支出</c:v>
                </c:pt>
                <c:pt idx="1">
                  <c:v>社会保障和就业支出</c:v>
                </c:pt>
                <c:pt idx="2">
                  <c:v>卫生健康支出</c:v>
                </c:pt>
                <c:pt idx="3">
                  <c:v>住房保障支出</c:v>
                </c:pt>
              </c:strCache>
            </c:strRef>
          </c:cat>
          <c:val>
            <c:numRef>
              <c:f>Sheet1!$B$2:$B$5</c:f>
              <c:numCache>
                <c:formatCode>0%</c:formatCode>
                <c:ptCount val="4"/>
                <c:pt idx="0">
                  <c:v>0.85</c:v>
                </c:pt>
                <c:pt idx="1">
                  <c:v>0.07</c:v>
                </c:pt>
                <c:pt idx="2">
                  <c:v>0.03</c:v>
                </c:pt>
                <c:pt idx="3">
                  <c:v>0.05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delete val="1"/>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6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0%</c:formatCode>
                <c:ptCount val="3"/>
                <c:pt idx="0">
                  <c:v>0</c:v>
                </c:pt>
                <c:pt idx="1">
                  <c:v>0.97</c:v>
                </c:pt>
                <c:pt idx="2">
                  <c:v>0.03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21FA5C-FBC4-4E0C-90C9-F7AB8D53FD89}">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1284</Words>
  <Characters>7320</Characters>
  <Lines>61</Lines>
  <Paragraphs>17</Paragraphs>
  <TotalTime>52</TotalTime>
  <ScaleCrop>false</ScaleCrop>
  <LinksUpToDate>false</LinksUpToDate>
  <CharactersWithSpaces>8587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王清美朵</cp:lastModifiedBy>
  <cp:lastPrinted>2020-10-23T04:31:34Z</cp:lastPrinted>
  <dcterms:modified xsi:type="dcterms:W3CDTF">2020-10-23T04:46:15Z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