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jc w:val="center"/>
        <w:rPr>
          <w:rFonts w:ascii="黑体" w:hAnsi="黑体" w:eastAsia="黑体"/>
          <w:sz w:val="72"/>
          <w:szCs w:val="72"/>
        </w:rPr>
      </w:pPr>
      <w:bookmarkStart w:id="1" w:name="_Toc15377425"/>
      <w:bookmarkStart w:id="2" w:name="_Toc15377193"/>
      <w:bookmarkStart w:id="3" w:name="_Toc15378441"/>
      <w:bookmarkStart w:id="4" w:name="_Toc15396475"/>
      <w:bookmarkStart w:id="5" w:name="_Toc15396597"/>
      <w:r>
        <w:rPr>
          <w:rFonts w:ascii="黑体" w:hAnsi="黑体" w:eastAsia="黑体"/>
          <w:sz w:val="72"/>
          <w:szCs w:val="72"/>
        </w:rPr>
        <w:t>202</w:t>
      </w:r>
      <w:r>
        <w:rPr>
          <w:rFonts w:hint="eastAsia" w:ascii="黑体" w:hAnsi="黑体" w:eastAsia="黑体"/>
          <w:sz w:val="72"/>
          <w:szCs w:val="72"/>
        </w:rPr>
        <w:t>1年度</w:t>
      </w:r>
      <w:bookmarkEnd w:id="1"/>
      <w:bookmarkEnd w:id="2"/>
      <w:bookmarkEnd w:id="3"/>
      <w:bookmarkEnd w:id="4"/>
      <w:bookmarkEnd w:id="5"/>
    </w:p>
    <w:p>
      <w:pPr>
        <w:jc w:val="center"/>
        <w:rPr>
          <w:rFonts w:ascii="方正小标宋简体" w:eastAsia="方正小标宋简体"/>
          <w:sz w:val="72"/>
          <w:szCs w:val="72"/>
        </w:rPr>
      </w:pPr>
      <w:bookmarkStart w:id="6" w:name="_Toc15378442"/>
      <w:bookmarkStart w:id="7" w:name="_Toc15377426"/>
      <w:bookmarkStart w:id="8" w:name="_Toc15377194"/>
      <w:bookmarkStart w:id="9" w:name="_Toc15396598"/>
      <w:bookmarkStart w:id="10" w:name="_Toc15396476"/>
      <w:r>
        <w:rPr>
          <w:rFonts w:hint="eastAsia" w:ascii="方正小标宋简体" w:eastAsia="方正小标宋简体"/>
          <w:sz w:val="72"/>
          <w:szCs w:val="72"/>
        </w:rPr>
        <w:t>阿坝州壤塘县</w:t>
      </w:r>
      <w:bookmarkEnd w:id="0"/>
      <w:bookmarkStart w:id="11" w:name="_Toc15306268"/>
      <w:r>
        <w:rPr>
          <w:rFonts w:hint="eastAsia" w:ascii="方正小标宋简体" w:eastAsia="方正小标宋简体"/>
          <w:sz w:val="72"/>
          <w:szCs w:val="72"/>
          <w:lang w:val="en-US" w:eastAsia="zh-CN"/>
        </w:rPr>
        <w:t>人民检察院</w:t>
      </w:r>
      <w:r>
        <w:rPr>
          <w:rFonts w:hint="eastAsia" w:ascii="方正小标宋简体" w:eastAsia="方正小标宋简体"/>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bookmarkStart w:id="163" w:name="_GoBack"/>
      <w:bookmarkEnd w:id="163"/>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pStyle w:val="13"/>
        <w:jc w:val="center"/>
        <w:rPr>
          <w:rFonts w:hint="eastAsia" w:ascii="宋体" w:hAnsi="宋体" w:eastAsia="宋体" w:cs="仿宋_GB2312"/>
          <w:b w:val="0"/>
          <w:bCs w:val="0"/>
          <w:caps w:val="0"/>
          <w:kern w:val="2"/>
          <w:sz w:val="32"/>
          <w:szCs w:val="32"/>
          <w:lang w:val="en-US" w:eastAsia="zh-CN" w:bidi="ar-SA"/>
        </w:rPr>
      </w:pPr>
      <w:r>
        <w:rPr>
          <w:rFonts w:hint="eastAsia" w:ascii="宋体" w:hAnsi="宋体" w:eastAsia="宋体" w:cs="仿宋_GB2312"/>
          <w:b w:val="0"/>
          <w:bCs w:val="0"/>
          <w:caps w:val="0"/>
          <w:kern w:val="2"/>
          <w:sz w:val="32"/>
          <w:szCs w:val="32"/>
          <w:lang w:val="en-US" w:eastAsia="zh-CN" w:bidi="ar-SA"/>
        </w:rPr>
        <w:t>公开时间：2022年10月21日</w:t>
      </w:r>
    </w:p>
    <w:p>
      <w:pPr>
        <w:widowControl/>
        <w:jc w:val="both"/>
        <w:rPr>
          <w:rFonts w:hint="eastAsia" w:ascii="黑体" w:hAnsi="黑体" w:eastAsia="黑体"/>
          <w:color w:val="000000"/>
          <w:sz w:val="48"/>
          <w:szCs w:val="48"/>
        </w:rPr>
      </w:pPr>
    </w:p>
    <w:p>
      <w:pPr>
        <w:widowControl/>
        <w:ind w:firstLine="3840" w:firstLineChars="800"/>
        <w:jc w:val="both"/>
        <w:rPr>
          <w:rFonts w:hint="eastAsia" w:ascii="黑体" w:hAnsi="黑体" w:eastAsia="黑体"/>
          <w:color w:val="000000"/>
          <w:sz w:val="48"/>
          <w:szCs w:val="48"/>
        </w:rPr>
      </w:pPr>
    </w:p>
    <w:p>
      <w:pPr>
        <w:widowControl/>
        <w:ind w:firstLine="3840" w:firstLineChars="800"/>
        <w:jc w:val="both"/>
        <w:rPr>
          <w:rFonts w:hint="eastAsia" w:ascii="黑体" w:hAnsi="黑体" w:eastAsia="黑体"/>
          <w:color w:val="000000"/>
          <w:sz w:val="48"/>
          <w:szCs w:val="48"/>
        </w:rPr>
      </w:pPr>
    </w:p>
    <w:p>
      <w:pPr>
        <w:widowControl/>
        <w:ind w:firstLine="3840" w:firstLineChars="800"/>
        <w:jc w:val="both"/>
        <w:rPr>
          <w:rFonts w:hint="eastAsia" w:ascii="黑体" w:hAnsi="黑体" w:eastAsia="黑体"/>
          <w:color w:val="000000"/>
          <w:sz w:val="48"/>
          <w:szCs w:val="48"/>
        </w:rPr>
      </w:pPr>
    </w:p>
    <w:p>
      <w:pPr>
        <w:widowControl/>
        <w:ind w:firstLine="3840" w:firstLineChars="800"/>
        <w:jc w:val="both"/>
        <w:rPr>
          <w:rFonts w:hint="eastAsia" w:ascii="黑体" w:hAnsi="黑体" w:eastAsia="黑体"/>
          <w:color w:val="000000"/>
          <w:sz w:val="48"/>
          <w:szCs w:val="48"/>
        </w:rPr>
      </w:pPr>
    </w:p>
    <w:p>
      <w:pPr>
        <w:widowControl/>
        <w:ind w:firstLine="3840" w:firstLineChars="800"/>
        <w:jc w:val="both"/>
        <w:rPr>
          <w:rFonts w:hint="eastAsia" w:ascii="黑体" w:hAnsi="黑体" w:eastAsia="黑体"/>
          <w:color w:val="000000"/>
          <w:sz w:val="48"/>
          <w:szCs w:val="48"/>
        </w:rPr>
      </w:pPr>
    </w:p>
    <w:p>
      <w:pPr>
        <w:widowControl/>
        <w:ind w:firstLine="3840" w:firstLineChars="800"/>
        <w:jc w:val="both"/>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pStyle w:val="13"/>
        <w:tabs>
          <w:tab w:val="right" w:leader="dot" w:pos="8306"/>
        </w:tabs>
      </w:pPr>
      <w:r>
        <w:rPr>
          <w:b w:val="0"/>
          <w:bCs w:val="0"/>
          <w:caps w:val="0"/>
        </w:rPr>
        <w:fldChar w:fldCharType="begin"/>
      </w:r>
      <w:r>
        <w:rPr>
          <w:b w:val="0"/>
          <w:bCs w:val="0"/>
          <w:caps w:val="0"/>
        </w:rPr>
        <w:instrText xml:space="preserve"> TOC \o \u </w:instrText>
      </w:r>
      <w:r>
        <w:rPr>
          <w:b w:val="0"/>
          <w:bCs w:val="0"/>
          <w:caps w:val="0"/>
        </w:rPr>
        <w:fldChar w:fldCharType="separate"/>
      </w:r>
      <w:r>
        <w:rPr>
          <w:rFonts w:hint="eastAsia" w:ascii="黑体" w:hAnsi="黑体" w:eastAsia="黑体"/>
        </w:rPr>
        <w:t>第一部分</w:t>
      </w:r>
      <w:r>
        <w:rPr>
          <w:rFonts w:ascii="黑体" w:hAnsi="黑体" w:eastAsia="黑体"/>
        </w:rPr>
        <w:t xml:space="preserve"> </w:t>
      </w:r>
      <w:r>
        <w:rPr>
          <w:rFonts w:hint="eastAsia" w:ascii="黑体" w:hAnsi="黑体" w:eastAsia="黑体"/>
          <w:bCs w:val="0"/>
        </w:rPr>
        <w:t>部门概况</w:t>
      </w:r>
      <w:r>
        <w:tab/>
      </w:r>
      <w:r>
        <w:fldChar w:fldCharType="begin"/>
      </w:r>
      <w:r>
        <w:instrText xml:space="preserve"> PAGEREF _Toc27315 \h </w:instrText>
      </w:r>
      <w:r>
        <w:fldChar w:fldCharType="separate"/>
      </w:r>
      <w:r>
        <w:t>1</w:t>
      </w:r>
      <w:r>
        <w:fldChar w:fldCharType="end"/>
      </w:r>
    </w:p>
    <w:p>
      <w:pPr>
        <w:pStyle w:val="16"/>
        <w:tabs>
          <w:tab w:val="right" w:leader="dot" w:pos="8306"/>
        </w:tabs>
      </w:pPr>
      <w:r>
        <w:rPr>
          <w:rFonts w:hint="eastAsia" w:ascii="黑体" w:hAnsi="黑体" w:eastAsia="黑体"/>
          <w:color w:val="000000"/>
        </w:rPr>
        <w:t>一、基</w:t>
      </w:r>
      <w:r>
        <w:rPr>
          <w:rFonts w:hint="eastAsia" w:ascii="黑体" w:hAnsi="黑体" w:eastAsia="黑体"/>
          <w:bCs w:val="0"/>
        </w:rPr>
        <w:t>本职能及主要工作</w:t>
      </w:r>
      <w:r>
        <w:tab/>
      </w:r>
      <w:r>
        <w:fldChar w:fldCharType="begin"/>
      </w:r>
      <w:r>
        <w:instrText xml:space="preserve"> PAGEREF _Toc7199 \h </w:instrText>
      </w:r>
      <w:r>
        <w:fldChar w:fldCharType="separate"/>
      </w:r>
      <w:r>
        <w:t>1</w:t>
      </w:r>
      <w:r>
        <w:fldChar w:fldCharType="end"/>
      </w:r>
    </w:p>
    <w:p>
      <w:pPr>
        <w:pStyle w:val="8"/>
        <w:tabs>
          <w:tab w:val="right" w:leader="dot" w:pos="8306"/>
        </w:tabs>
      </w:pPr>
      <w:r>
        <w:rPr>
          <w:rFonts w:hint="eastAsia" w:ascii="仿宋" w:hAnsi="仿宋" w:eastAsia="仿宋"/>
          <w:bCs/>
          <w:color w:val="000000"/>
          <w:szCs w:val="32"/>
        </w:rPr>
        <w:t>（一）主要职能。</w:t>
      </w:r>
      <w:r>
        <w:tab/>
      </w:r>
      <w:r>
        <w:fldChar w:fldCharType="begin"/>
      </w:r>
      <w:r>
        <w:instrText xml:space="preserve"> PAGEREF _Toc12226 \h </w:instrText>
      </w:r>
      <w:r>
        <w:fldChar w:fldCharType="separate"/>
      </w:r>
      <w:r>
        <w:t>1</w:t>
      </w:r>
      <w:r>
        <w:fldChar w:fldCharType="end"/>
      </w:r>
    </w:p>
    <w:p>
      <w:pPr>
        <w:pStyle w:val="8"/>
        <w:tabs>
          <w:tab w:val="right" w:leader="dot" w:pos="8306"/>
        </w:tabs>
      </w:pPr>
      <w:r>
        <w:rPr>
          <w:rFonts w:hint="eastAsia" w:ascii="仿宋" w:hAnsi="仿宋" w:eastAsia="仿宋"/>
          <w:bCs/>
          <w:color w:val="000000"/>
          <w:szCs w:val="32"/>
        </w:rPr>
        <w:t>（二）</w:t>
      </w:r>
      <w:r>
        <w:rPr>
          <w:rFonts w:ascii="仿宋" w:hAnsi="仿宋" w:eastAsia="仿宋"/>
          <w:bCs/>
          <w:color w:val="000000"/>
          <w:szCs w:val="32"/>
        </w:rPr>
        <w:t>202</w:t>
      </w:r>
      <w:r>
        <w:rPr>
          <w:rFonts w:hint="eastAsia" w:ascii="仿宋" w:hAnsi="仿宋" w:eastAsia="仿宋"/>
          <w:bCs/>
          <w:color w:val="000000"/>
          <w:szCs w:val="32"/>
        </w:rPr>
        <w:t>1年重点工作完成情况</w:t>
      </w:r>
      <w:r>
        <w:tab/>
      </w:r>
      <w:r>
        <w:fldChar w:fldCharType="begin"/>
      </w:r>
      <w:r>
        <w:instrText xml:space="preserve"> PAGEREF _Toc83 \h </w:instrText>
      </w:r>
      <w:r>
        <w:fldChar w:fldCharType="separate"/>
      </w:r>
      <w:r>
        <w:t>2</w:t>
      </w:r>
      <w:r>
        <w:fldChar w:fldCharType="end"/>
      </w:r>
    </w:p>
    <w:p>
      <w:pPr>
        <w:pStyle w:val="16"/>
        <w:tabs>
          <w:tab w:val="right" w:leader="dot" w:pos="8306"/>
        </w:tabs>
      </w:pPr>
      <w:r>
        <w:rPr>
          <w:rFonts w:hint="eastAsia" w:ascii="黑体" w:eastAsia="黑体"/>
          <w:color w:val="000000"/>
        </w:rPr>
        <w:t>二、</w:t>
      </w:r>
      <w:r>
        <w:rPr>
          <w:rFonts w:hint="eastAsia" w:ascii="黑体" w:hAnsi="黑体" w:eastAsia="黑体"/>
          <w:color w:val="000000"/>
        </w:rPr>
        <w:t>机</w:t>
      </w:r>
      <w:r>
        <w:rPr>
          <w:rFonts w:hint="eastAsia" w:ascii="黑体" w:hAnsi="黑体" w:eastAsia="黑体"/>
          <w:bCs w:val="0"/>
        </w:rPr>
        <w:t>构设置</w:t>
      </w:r>
      <w:r>
        <w:tab/>
      </w:r>
      <w:r>
        <w:fldChar w:fldCharType="begin"/>
      </w:r>
      <w:r>
        <w:instrText xml:space="preserve"> PAGEREF _Toc8865 \h </w:instrText>
      </w:r>
      <w:r>
        <w:fldChar w:fldCharType="separate"/>
      </w:r>
      <w:r>
        <w:t>4</w:t>
      </w:r>
      <w:r>
        <w:fldChar w:fldCharType="end"/>
      </w:r>
    </w:p>
    <w:p>
      <w:pPr>
        <w:pStyle w:val="13"/>
        <w:tabs>
          <w:tab w:val="right" w:leader="dot" w:pos="8306"/>
        </w:tabs>
      </w:pPr>
      <w:r>
        <w:rPr>
          <w:rFonts w:hint="eastAsia" w:ascii="黑体" w:hAnsi="黑体" w:eastAsia="黑体"/>
          <w:color w:val="000000"/>
        </w:rPr>
        <w:t>第二部分</w:t>
      </w:r>
      <w:r>
        <w:rPr>
          <w:rFonts w:ascii="黑体" w:hAnsi="黑体" w:eastAsia="黑体"/>
          <w:color w:val="000000"/>
        </w:rPr>
        <w:t xml:space="preserve"> </w:t>
      </w:r>
      <w:r>
        <w:rPr>
          <w:rFonts w:ascii="黑体" w:hAnsi="黑体" w:eastAsia="黑体"/>
          <w:bCs w:val="0"/>
        </w:rPr>
        <w:t>202</w:t>
      </w:r>
      <w:r>
        <w:rPr>
          <w:rFonts w:hint="eastAsia" w:ascii="黑体" w:hAnsi="黑体" w:eastAsia="黑体"/>
          <w:bCs w:val="0"/>
        </w:rPr>
        <w:t>1年度部门决算情况说明</w:t>
      </w:r>
      <w:r>
        <w:tab/>
      </w:r>
      <w:r>
        <w:fldChar w:fldCharType="begin"/>
      </w:r>
      <w:r>
        <w:instrText xml:space="preserve"> PAGEREF _Toc7271 \h </w:instrText>
      </w:r>
      <w:r>
        <w:fldChar w:fldCharType="separate"/>
      </w:r>
      <w:r>
        <w:t>5</w:t>
      </w:r>
      <w:r>
        <w:fldChar w:fldCharType="end"/>
      </w:r>
    </w:p>
    <w:p>
      <w:pPr>
        <w:pStyle w:val="16"/>
        <w:tabs>
          <w:tab w:val="right" w:leader="dot" w:pos="8306"/>
        </w:tabs>
      </w:pPr>
      <w:r>
        <w:rPr>
          <w:rFonts w:hint="default" w:ascii="黑体" w:hAnsi="黑体" w:eastAsia="黑体" w:cs="Times New Roman"/>
        </w:rPr>
        <w:t xml:space="preserve">一、 </w:t>
      </w:r>
      <w:r>
        <w:rPr>
          <w:rFonts w:hint="eastAsia" w:ascii="黑体" w:hAnsi="黑体" w:eastAsia="黑体"/>
          <w:color w:val="000000"/>
          <w:szCs w:val="32"/>
        </w:rPr>
        <w:t>收</w:t>
      </w:r>
      <w:r>
        <w:rPr>
          <w:rFonts w:hint="eastAsia" w:ascii="黑体" w:hAnsi="黑体" w:eastAsia="黑体"/>
        </w:rPr>
        <w:t>入支出决算总体情况说明</w:t>
      </w:r>
      <w:r>
        <w:tab/>
      </w:r>
      <w:r>
        <w:fldChar w:fldCharType="begin"/>
      </w:r>
      <w:r>
        <w:instrText xml:space="preserve"> PAGEREF _Toc30449 \h </w:instrText>
      </w:r>
      <w:r>
        <w:fldChar w:fldCharType="separate"/>
      </w:r>
      <w:r>
        <w:t>5</w:t>
      </w:r>
      <w:r>
        <w:fldChar w:fldCharType="end"/>
      </w:r>
    </w:p>
    <w:p>
      <w:pPr>
        <w:pStyle w:val="16"/>
        <w:tabs>
          <w:tab w:val="right" w:leader="dot" w:pos="8306"/>
        </w:tabs>
      </w:pPr>
      <w:r>
        <w:rPr>
          <w:rFonts w:hint="default" w:ascii="黑体" w:hAnsi="黑体" w:eastAsia="黑体" w:cs="Times New Roman"/>
        </w:rPr>
        <w:t xml:space="preserve">二、 </w:t>
      </w:r>
      <w:r>
        <w:rPr>
          <w:rFonts w:hint="eastAsia" w:ascii="黑体" w:hAnsi="黑体" w:eastAsia="黑体"/>
          <w:color w:val="000000"/>
          <w:szCs w:val="32"/>
        </w:rPr>
        <w:t>收</w:t>
      </w:r>
      <w:r>
        <w:rPr>
          <w:rFonts w:hint="eastAsia" w:ascii="黑体" w:hAnsi="黑体" w:eastAsia="黑体"/>
        </w:rPr>
        <w:t>入决算情况说明</w:t>
      </w:r>
      <w:r>
        <w:tab/>
      </w:r>
      <w:r>
        <w:fldChar w:fldCharType="begin"/>
      </w:r>
      <w:r>
        <w:instrText xml:space="preserve"> PAGEREF _Toc4596 \h </w:instrText>
      </w:r>
      <w:r>
        <w:fldChar w:fldCharType="separate"/>
      </w:r>
      <w:r>
        <w:t>5</w:t>
      </w:r>
      <w:r>
        <w:fldChar w:fldCharType="end"/>
      </w:r>
    </w:p>
    <w:p>
      <w:pPr>
        <w:pStyle w:val="16"/>
        <w:tabs>
          <w:tab w:val="right" w:leader="dot" w:pos="8306"/>
        </w:tabs>
      </w:pPr>
      <w:r>
        <w:rPr>
          <w:rFonts w:hint="default" w:ascii="黑体" w:hAnsi="黑体" w:eastAsia="黑体" w:cs="Times New Roman"/>
        </w:rPr>
        <w:t xml:space="preserve">三、 </w:t>
      </w:r>
      <w:r>
        <w:rPr>
          <w:rFonts w:hint="eastAsia" w:ascii="黑体" w:hAnsi="黑体" w:eastAsia="黑体"/>
          <w:color w:val="000000"/>
          <w:szCs w:val="32"/>
        </w:rPr>
        <w:t>支</w:t>
      </w:r>
      <w:r>
        <w:rPr>
          <w:rFonts w:hint="eastAsia" w:ascii="黑体" w:hAnsi="黑体" w:eastAsia="黑体"/>
        </w:rPr>
        <w:t>出决算情况说明</w:t>
      </w:r>
      <w:r>
        <w:tab/>
      </w:r>
      <w:r>
        <w:fldChar w:fldCharType="begin"/>
      </w:r>
      <w:r>
        <w:instrText xml:space="preserve"> PAGEREF _Toc31356 \h </w:instrText>
      </w:r>
      <w:r>
        <w:fldChar w:fldCharType="separate"/>
      </w:r>
      <w:r>
        <w:t>6</w:t>
      </w:r>
      <w:r>
        <w:fldChar w:fldCharType="end"/>
      </w:r>
    </w:p>
    <w:p>
      <w:pPr>
        <w:pStyle w:val="16"/>
        <w:tabs>
          <w:tab w:val="right" w:leader="dot" w:pos="8306"/>
        </w:tabs>
      </w:pPr>
      <w:r>
        <w:rPr>
          <w:rFonts w:hint="eastAsia" w:ascii="黑体" w:hAnsi="黑体" w:eastAsia="黑体"/>
          <w:color w:val="000000"/>
          <w:szCs w:val="32"/>
        </w:rPr>
        <w:t>四、财</w:t>
      </w:r>
      <w:r>
        <w:rPr>
          <w:rFonts w:hint="eastAsia" w:ascii="黑体" w:hAnsi="黑体" w:eastAsia="黑体"/>
        </w:rPr>
        <w:t>政拨款收入支出决算总体情况说明</w:t>
      </w:r>
      <w:r>
        <w:tab/>
      </w:r>
      <w:r>
        <w:fldChar w:fldCharType="begin"/>
      </w:r>
      <w:r>
        <w:instrText xml:space="preserve"> PAGEREF _Toc10208 \h </w:instrText>
      </w:r>
      <w:r>
        <w:fldChar w:fldCharType="separate"/>
      </w:r>
      <w:r>
        <w:t>7</w:t>
      </w:r>
      <w:r>
        <w:fldChar w:fldCharType="end"/>
      </w:r>
    </w:p>
    <w:p>
      <w:pPr>
        <w:pStyle w:val="16"/>
        <w:tabs>
          <w:tab w:val="right" w:leader="dot" w:pos="8306"/>
        </w:tabs>
      </w:pPr>
      <w:r>
        <w:rPr>
          <w:rFonts w:hint="eastAsia" w:ascii="黑体" w:hAnsi="黑体" w:eastAsia="黑体"/>
          <w:color w:val="000000"/>
          <w:szCs w:val="32"/>
        </w:rPr>
        <w:t>五、一</w:t>
      </w:r>
      <w:r>
        <w:rPr>
          <w:rFonts w:hint="eastAsia" w:ascii="黑体" w:hAnsi="黑体" w:eastAsia="黑体"/>
        </w:rPr>
        <w:t>般公共预算财政拨款支出决算情况说明</w:t>
      </w:r>
      <w:r>
        <w:tab/>
      </w:r>
      <w:r>
        <w:fldChar w:fldCharType="begin"/>
      </w:r>
      <w:r>
        <w:instrText xml:space="preserve"> PAGEREF _Toc28591 \h </w:instrText>
      </w:r>
      <w:r>
        <w:fldChar w:fldCharType="separate"/>
      </w:r>
      <w:r>
        <w:t>7</w:t>
      </w:r>
      <w:r>
        <w:fldChar w:fldCharType="end"/>
      </w:r>
    </w:p>
    <w:p>
      <w:pPr>
        <w:pStyle w:val="8"/>
        <w:tabs>
          <w:tab w:val="right" w:leader="dot" w:pos="8306"/>
        </w:tabs>
      </w:pPr>
      <w:r>
        <w:rPr>
          <w:rFonts w:hint="eastAsia" w:ascii="仿宋" w:hAnsi="仿宋" w:eastAsia="仿宋"/>
          <w:color w:val="000000"/>
          <w:szCs w:val="32"/>
        </w:rPr>
        <w:t>（一）一般公共预算财政拨款支出决算总体情况</w:t>
      </w:r>
      <w:r>
        <w:tab/>
      </w:r>
      <w:r>
        <w:fldChar w:fldCharType="begin"/>
      </w:r>
      <w:r>
        <w:instrText xml:space="preserve"> PAGEREF _Toc22914 \h </w:instrText>
      </w:r>
      <w:r>
        <w:fldChar w:fldCharType="separate"/>
      </w:r>
      <w:r>
        <w:t>7</w:t>
      </w:r>
      <w:r>
        <w:fldChar w:fldCharType="end"/>
      </w:r>
    </w:p>
    <w:p>
      <w:pPr>
        <w:pStyle w:val="8"/>
        <w:tabs>
          <w:tab w:val="right" w:leader="dot" w:pos="8306"/>
        </w:tabs>
      </w:pPr>
      <w:r>
        <w:rPr>
          <w:rFonts w:hint="eastAsia" w:ascii="仿宋" w:hAnsi="仿宋" w:eastAsia="仿宋"/>
          <w:color w:val="000000"/>
          <w:szCs w:val="32"/>
        </w:rPr>
        <w:t>（二）一般公共预算财政拨款支出决算结构情况</w:t>
      </w:r>
      <w:r>
        <w:tab/>
      </w:r>
      <w:r>
        <w:fldChar w:fldCharType="begin"/>
      </w:r>
      <w:r>
        <w:instrText xml:space="preserve"> PAGEREF _Toc1208 \h </w:instrText>
      </w:r>
      <w:r>
        <w:fldChar w:fldCharType="separate"/>
      </w:r>
      <w:r>
        <w:t>8</w:t>
      </w:r>
      <w:r>
        <w:fldChar w:fldCharType="end"/>
      </w:r>
    </w:p>
    <w:p>
      <w:pPr>
        <w:pStyle w:val="8"/>
        <w:tabs>
          <w:tab w:val="right" w:leader="dot" w:pos="8306"/>
        </w:tabs>
      </w:pPr>
      <w:r>
        <w:rPr>
          <w:rFonts w:hint="eastAsia" w:ascii="仿宋" w:hAnsi="仿宋" w:eastAsia="仿宋"/>
          <w:color w:val="000000"/>
          <w:szCs w:val="32"/>
        </w:rPr>
        <w:t>（三）一般公共预算财政拨款支出决算具体情况</w:t>
      </w:r>
      <w:r>
        <w:tab/>
      </w:r>
      <w:r>
        <w:fldChar w:fldCharType="begin"/>
      </w:r>
      <w:r>
        <w:instrText xml:space="preserve"> PAGEREF _Toc951 \h </w:instrText>
      </w:r>
      <w:r>
        <w:fldChar w:fldCharType="separate"/>
      </w:r>
      <w:r>
        <w:t>9</w:t>
      </w:r>
      <w:r>
        <w:fldChar w:fldCharType="end"/>
      </w:r>
    </w:p>
    <w:p>
      <w:pPr>
        <w:pStyle w:val="16"/>
        <w:tabs>
          <w:tab w:val="right" w:leader="dot" w:pos="8306"/>
        </w:tabs>
      </w:pPr>
      <w:r>
        <w:rPr>
          <w:rFonts w:hint="eastAsia" w:ascii="黑体" w:eastAsia="黑体"/>
          <w:color w:val="000000"/>
          <w:szCs w:val="32"/>
        </w:rPr>
        <w:t>六、</w:t>
      </w:r>
      <w:r>
        <w:rPr>
          <w:rFonts w:hint="eastAsia" w:ascii="黑体" w:hAnsi="黑体" w:eastAsia="黑体"/>
          <w:color w:val="000000"/>
          <w:szCs w:val="32"/>
        </w:rPr>
        <w:t>一</w:t>
      </w:r>
      <w:r>
        <w:rPr>
          <w:rFonts w:hint="eastAsia" w:ascii="黑体" w:hAnsi="黑体" w:eastAsia="黑体"/>
        </w:rPr>
        <w:t>般公共预算财政拨款基本支出决算情况说明</w:t>
      </w:r>
      <w:r>
        <w:tab/>
      </w:r>
      <w:r>
        <w:fldChar w:fldCharType="begin"/>
      </w:r>
      <w:r>
        <w:instrText xml:space="preserve"> PAGEREF _Toc5314 \h </w:instrText>
      </w:r>
      <w:r>
        <w:fldChar w:fldCharType="separate"/>
      </w:r>
      <w:r>
        <w:t>10</w:t>
      </w:r>
      <w:r>
        <w:fldChar w:fldCharType="end"/>
      </w:r>
    </w:p>
    <w:p>
      <w:pPr>
        <w:pStyle w:val="16"/>
        <w:tabs>
          <w:tab w:val="right" w:leader="dot" w:pos="8306"/>
        </w:tabs>
      </w:pPr>
      <w:r>
        <w:rPr>
          <w:rFonts w:hint="eastAsia" w:ascii="黑体" w:eastAsia="黑体"/>
          <w:color w:val="000000"/>
          <w:szCs w:val="32"/>
        </w:rPr>
        <w:t>七、</w:t>
      </w:r>
      <w:r>
        <w:rPr>
          <w:rFonts w:hint="eastAsia" w:ascii="黑体" w:hAnsi="黑体" w:eastAsia="黑体"/>
        </w:rPr>
        <w:t>“三公”经费财政拨款支出决算情况说明</w:t>
      </w:r>
      <w:r>
        <w:tab/>
      </w:r>
      <w:r>
        <w:fldChar w:fldCharType="begin"/>
      </w:r>
      <w:r>
        <w:instrText xml:space="preserve"> PAGEREF _Toc18365 \h </w:instrText>
      </w:r>
      <w:r>
        <w:fldChar w:fldCharType="separate"/>
      </w:r>
      <w:r>
        <w:t>11</w:t>
      </w:r>
      <w:r>
        <w:fldChar w:fldCharType="end"/>
      </w:r>
    </w:p>
    <w:p>
      <w:pPr>
        <w:pStyle w:val="8"/>
        <w:tabs>
          <w:tab w:val="right" w:leader="dot" w:pos="8306"/>
        </w:tabs>
      </w:pPr>
      <w:r>
        <w:rPr>
          <w:rFonts w:hint="eastAsia" w:ascii="仿宋" w:hAnsi="仿宋" w:eastAsia="仿宋"/>
          <w:color w:val="000000"/>
          <w:szCs w:val="32"/>
        </w:rPr>
        <w:t>（一）“三公”经费财政拨款支出决算总体情况说明</w:t>
      </w:r>
      <w:r>
        <w:tab/>
      </w:r>
      <w:r>
        <w:fldChar w:fldCharType="begin"/>
      </w:r>
      <w:r>
        <w:instrText xml:space="preserve"> PAGEREF _Toc3044 \h </w:instrText>
      </w:r>
      <w:r>
        <w:fldChar w:fldCharType="separate"/>
      </w:r>
      <w:r>
        <w:t>11</w:t>
      </w:r>
      <w:r>
        <w:fldChar w:fldCharType="end"/>
      </w:r>
    </w:p>
    <w:p>
      <w:pPr>
        <w:pStyle w:val="8"/>
        <w:tabs>
          <w:tab w:val="right" w:leader="dot" w:pos="8306"/>
        </w:tabs>
      </w:pPr>
      <w:r>
        <w:rPr>
          <w:rFonts w:hint="eastAsia" w:ascii="仿宋" w:hAnsi="仿宋" w:eastAsia="仿宋"/>
          <w:color w:val="000000"/>
          <w:szCs w:val="32"/>
        </w:rPr>
        <w:t>（二）“三公”经费财政拨款支出决算具体情况说明</w:t>
      </w:r>
      <w:r>
        <w:tab/>
      </w:r>
      <w:r>
        <w:fldChar w:fldCharType="begin"/>
      </w:r>
      <w:r>
        <w:instrText xml:space="preserve"> PAGEREF _Toc14805 \h </w:instrText>
      </w:r>
      <w:r>
        <w:fldChar w:fldCharType="separate"/>
      </w:r>
      <w:r>
        <w:t>11</w:t>
      </w:r>
      <w:r>
        <w:fldChar w:fldCharType="end"/>
      </w:r>
    </w:p>
    <w:p>
      <w:pPr>
        <w:pStyle w:val="16"/>
        <w:tabs>
          <w:tab w:val="right" w:leader="dot" w:pos="8306"/>
        </w:tabs>
      </w:pPr>
      <w:r>
        <w:rPr>
          <w:rFonts w:hint="eastAsia" w:ascii="黑体" w:eastAsia="黑体"/>
          <w:color w:val="000000"/>
          <w:szCs w:val="32"/>
        </w:rPr>
        <w:t>八、</w:t>
      </w:r>
      <w:r>
        <w:rPr>
          <w:rFonts w:hint="eastAsia" w:ascii="黑体" w:hAnsi="黑体" w:eastAsia="黑体"/>
        </w:rPr>
        <w:t>政府性基金预算支出决算情况说明</w:t>
      </w:r>
      <w:r>
        <w:tab/>
      </w:r>
      <w:r>
        <w:fldChar w:fldCharType="begin"/>
      </w:r>
      <w:r>
        <w:instrText xml:space="preserve"> PAGEREF _Toc19393 \h </w:instrText>
      </w:r>
      <w:r>
        <w:fldChar w:fldCharType="separate"/>
      </w:r>
      <w:r>
        <w:t>12</w:t>
      </w:r>
      <w:r>
        <w:fldChar w:fldCharType="end"/>
      </w:r>
    </w:p>
    <w:p>
      <w:pPr>
        <w:pStyle w:val="16"/>
        <w:tabs>
          <w:tab w:val="right" w:leader="dot" w:pos="8306"/>
        </w:tabs>
      </w:pPr>
      <w:r>
        <w:rPr>
          <w:rFonts w:hint="eastAsia" w:ascii="黑体" w:hAnsi="黑体" w:eastAsia="黑体" w:cs="Times New Roman"/>
        </w:rPr>
        <w:t xml:space="preserve">九、 </w:t>
      </w:r>
      <w:r>
        <w:rPr>
          <w:rFonts w:hint="eastAsia" w:ascii="黑体" w:hAnsi="黑体" w:eastAsia="黑体"/>
        </w:rPr>
        <w:t>国有资本经营预算支出决算情况说明</w:t>
      </w:r>
      <w:r>
        <w:tab/>
      </w:r>
      <w:r>
        <w:fldChar w:fldCharType="begin"/>
      </w:r>
      <w:r>
        <w:instrText xml:space="preserve"> PAGEREF _Toc25076 \h </w:instrText>
      </w:r>
      <w:r>
        <w:fldChar w:fldCharType="separate"/>
      </w:r>
      <w:r>
        <w:t>12</w:t>
      </w:r>
      <w:r>
        <w:fldChar w:fldCharType="end"/>
      </w:r>
    </w:p>
    <w:p>
      <w:pPr>
        <w:pStyle w:val="16"/>
        <w:tabs>
          <w:tab w:val="right" w:leader="dot" w:pos="8306"/>
        </w:tabs>
      </w:pPr>
      <w:r>
        <w:rPr>
          <w:rFonts w:hint="eastAsia" w:ascii="黑体" w:hAnsi="黑体" w:eastAsia="黑体"/>
          <w:color w:val="000000"/>
          <w:szCs w:val="32"/>
        </w:rPr>
        <w:t>十</w:t>
      </w:r>
      <w:r>
        <w:rPr>
          <w:rFonts w:hint="eastAsia" w:ascii="黑体" w:hAnsi="黑体" w:eastAsia="黑体"/>
        </w:rPr>
        <w:t>、其他重要事项的情况说明</w:t>
      </w:r>
      <w:r>
        <w:tab/>
      </w:r>
      <w:r>
        <w:fldChar w:fldCharType="begin"/>
      </w:r>
      <w:r>
        <w:instrText xml:space="preserve"> PAGEREF _Toc7656 \h </w:instrText>
      </w:r>
      <w:r>
        <w:fldChar w:fldCharType="separate"/>
      </w:r>
      <w:r>
        <w:t>12</w:t>
      </w:r>
      <w:r>
        <w:fldChar w:fldCharType="end"/>
      </w:r>
    </w:p>
    <w:p>
      <w:pPr>
        <w:pStyle w:val="8"/>
        <w:tabs>
          <w:tab w:val="right" w:leader="dot" w:pos="8306"/>
        </w:tabs>
      </w:pPr>
      <w:r>
        <w:rPr>
          <w:rFonts w:hint="eastAsia" w:ascii="仿宋" w:hAnsi="仿宋" w:eastAsia="仿宋"/>
          <w:color w:val="000000"/>
          <w:szCs w:val="32"/>
        </w:rPr>
        <w:t>（一）机关运行经费支出情况</w:t>
      </w:r>
      <w:r>
        <w:tab/>
      </w:r>
      <w:r>
        <w:fldChar w:fldCharType="begin"/>
      </w:r>
      <w:r>
        <w:instrText xml:space="preserve"> PAGEREF _Toc1810 \h </w:instrText>
      </w:r>
      <w:r>
        <w:fldChar w:fldCharType="separate"/>
      </w:r>
      <w:r>
        <w:t>12</w:t>
      </w:r>
      <w:r>
        <w:fldChar w:fldCharType="end"/>
      </w:r>
    </w:p>
    <w:p>
      <w:pPr>
        <w:pStyle w:val="8"/>
        <w:tabs>
          <w:tab w:val="right" w:leader="dot" w:pos="8306"/>
        </w:tabs>
      </w:pPr>
      <w:r>
        <w:rPr>
          <w:rFonts w:hint="eastAsia" w:ascii="仿宋" w:hAnsi="仿宋" w:eastAsia="仿宋"/>
          <w:color w:val="000000"/>
          <w:szCs w:val="32"/>
        </w:rPr>
        <w:t>（二）政府采购支出情况</w:t>
      </w:r>
      <w:r>
        <w:tab/>
      </w:r>
      <w:r>
        <w:fldChar w:fldCharType="begin"/>
      </w:r>
      <w:r>
        <w:instrText xml:space="preserve"> PAGEREF _Toc27254 \h </w:instrText>
      </w:r>
      <w:r>
        <w:fldChar w:fldCharType="separate"/>
      </w:r>
      <w:r>
        <w:t>13</w:t>
      </w:r>
      <w:r>
        <w:fldChar w:fldCharType="end"/>
      </w:r>
    </w:p>
    <w:p>
      <w:pPr>
        <w:pStyle w:val="8"/>
        <w:tabs>
          <w:tab w:val="right" w:leader="dot" w:pos="8306"/>
        </w:tabs>
      </w:pPr>
      <w:r>
        <w:rPr>
          <w:rFonts w:hint="eastAsia" w:ascii="仿宋" w:hAnsi="仿宋" w:eastAsia="仿宋"/>
          <w:color w:val="000000"/>
          <w:szCs w:val="32"/>
        </w:rPr>
        <w:t>（三）国有资产占有使用情况</w:t>
      </w:r>
      <w:r>
        <w:tab/>
      </w:r>
      <w:r>
        <w:fldChar w:fldCharType="begin"/>
      </w:r>
      <w:r>
        <w:instrText xml:space="preserve"> PAGEREF _Toc16852 \h </w:instrText>
      </w:r>
      <w:r>
        <w:fldChar w:fldCharType="separate"/>
      </w:r>
      <w:r>
        <w:t>13</w:t>
      </w:r>
      <w:r>
        <w:fldChar w:fldCharType="end"/>
      </w:r>
    </w:p>
    <w:p>
      <w:pPr>
        <w:pStyle w:val="8"/>
        <w:tabs>
          <w:tab w:val="right" w:leader="dot" w:pos="8306"/>
        </w:tabs>
      </w:pPr>
      <w:r>
        <w:rPr>
          <w:rFonts w:hint="eastAsia" w:ascii="仿宋" w:hAnsi="仿宋" w:eastAsia="仿宋"/>
          <w:color w:val="000000"/>
          <w:szCs w:val="32"/>
        </w:rPr>
        <w:t>（四）预算绩效管理情况。</w:t>
      </w:r>
      <w:r>
        <w:tab/>
      </w:r>
      <w:r>
        <w:fldChar w:fldCharType="begin"/>
      </w:r>
      <w:r>
        <w:instrText xml:space="preserve"> PAGEREF _Toc23691 \h </w:instrText>
      </w:r>
      <w:r>
        <w:fldChar w:fldCharType="separate"/>
      </w:r>
      <w:r>
        <w:t>13</w:t>
      </w:r>
      <w:r>
        <w:fldChar w:fldCharType="end"/>
      </w:r>
    </w:p>
    <w:p>
      <w:pPr>
        <w:pStyle w:val="13"/>
        <w:tabs>
          <w:tab w:val="right" w:leader="dot" w:pos="8306"/>
        </w:tabs>
      </w:pPr>
      <w:r>
        <w:rPr>
          <w:rFonts w:hint="eastAsia" w:ascii="黑体" w:hAnsi="黑体" w:eastAsia="黑体" w:cs="Times New Roman"/>
        </w:rPr>
        <w:t xml:space="preserve">第三部分 </w:t>
      </w:r>
      <w:r>
        <w:rPr>
          <w:rFonts w:hint="eastAsia" w:ascii="黑体" w:hAnsi="黑体" w:eastAsia="黑体"/>
          <w:color w:val="000000"/>
          <w:szCs w:val="44"/>
        </w:rPr>
        <w:t>名</w:t>
      </w:r>
      <w:r>
        <w:rPr>
          <w:rFonts w:hint="eastAsia" w:ascii="黑体" w:hAnsi="黑体" w:eastAsia="黑体"/>
        </w:rPr>
        <w:t>词解释</w:t>
      </w:r>
      <w:r>
        <w:tab/>
      </w:r>
      <w:r>
        <w:fldChar w:fldCharType="begin"/>
      </w:r>
      <w:r>
        <w:instrText xml:space="preserve"> PAGEREF _Toc31141 \h </w:instrText>
      </w:r>
      <w:r>
        <w:fldChar w:fldCharType="separate"/>
      </w:r>
      <w:r>
        <w:t>15</w:t>
      </w:r>
      <w:r>
        <w:fldChar w:fldCharType="end"/>
      </w:r>
    </w:p>
    <w:p>
      <w:pPr>
        <w:pStyle w:val="13"/>
        <w:tabs>
          <w:tab w:val="right" w:leader="dot" w:pos="8306"/>
        </w:tabs>
      </w:pPr>
      <w:r>
        <w:rPr>
          <w:rFonts w:hint="eastAsia" w:ascii="黑体" w:hAnsi="黑体" w:eastAsia="黑体"/>
          <w:color w:val="000000"/>
          <w:szCs w:val="44"/>
        </w:rPr>
        <w:t>第</w:t>
      </w:r>
      <w:r>
        <w:rPr>
          <w:rFonts w:hint="eastAsia" w:ascii="黑体" w:hAnsi="黑体" w:eastAsia="黑体"/>
        </w:rPr>
        <w:t>四部分</w:t>
      </w:r>
      <w:r>
        <w:rPr>
          <w:rFonts w:ascii="黑体" w:hAnsi="黑体" w:eastAsia="黑体"/>
        </w:rPr>
        <w:t xml:space="preserve"> </w:t>
      </w:r>
      <w:r>
        <w:rPr>
          <w:rFonts w:hint="eastAsia" w:ascii="黑体" w:hAnsi="黑体" w:eastAsia="黑体"/>
        </w:rPr>
        <w:t>附件</w:t>
      </w:r>
      <w:r>
        <w:tab/>
      </w:r>
      <w:r>
        <w:fldChar w:fldCharType="begin"/>
      </w:r>
      <w:r>
        <w:instrText xml:space="preserve"> PAGEREF _Toc11143 \h </w:instrText>
      </w:r>
      <w:r>
        <w:fldChar w:fldCharType="separate"/>
      </w:r>
      <w:r>
        <w:t>18</w:t>
      </w:r>
      <w:r>
        <w:fldChar w:fldCharType="end"/>
      </w:r>
    </w:p>
    <w:p>
      <w:pPr>
        <w:pStyle w:val="13"/>
        <w:tabs>
          <w:tab w:val="right" w:leader="dot" w:pos="8306"/>
        </w:tabs>
      </w:pPr>
      <w:r>
        <w:rPr>
          <w:rFonts w:hint="eastAsia" w:ascii="黑体" w:hAnsi="黑体" w:eastAsia="黑体"/>
          <w:color w:val="000000"/>
          <w:szCs w:val="44"/>
        </w:rPr>
        <w:t>第</w:t>
      </w:r>
      <w:r>
        <w:rPr>
          <w:rFonts w:hint="eastAsia" w:ascii="黑体" w:hAnsi="黑体" w:eastAsia="黑体"/>
        </w:rPr>
        <w:t>五部分</w:t>
      </w:r>
      <w:r>
        <w:rPr>
          <w:rFonts w:ascii="黑体" w:hAnsi="黑体" w:eastAsia="黑体"/>
        </w:rPr>
        <w:t xml:space="preserve"> </w:t>
      </w:r>
      <w:r>
        <w:rPr>
          <w:rFonts w:hint="eastAsia" w:ascii="黑体" w:hAnsi="黑体" w:eastAsia="黑体"/>
        </w:rPr>
        <w:t>附表</w:t>
      </w:r>
      <w:r>
        <w:tab/>
      </w:r>
      <w:r>
        <w:fldChar w:fldCharType="begin"/>
      </w:r>
      <w:r>
        <w:instrText xml:space="preserve"> PAGEREF _Toc14136 \h </w:instrText>
      </w:r>
      <w:r>
        <w:fldChar w:fldCharType="separate"/>
      </w:r>
      <w:r>
        <w:t>25</w:t>
      </w:r>
      <w:r>
        <w:fldChar w:fldCharType="end"/>
      </w:r>
    </w:p>
    <w:p>
      <w:pPr>
        <w:pStyle w:val="16"/>
        <w:tabs>
          <w:tab w:val="right" w:leader="dot" w:pos="8306"/>
        </w:tabs>
      </w:pPr>
      <w:r>
        <w:rPr>
          <w:rFonts w:hint="eastAsia" w:ascii="仿宋" w:hAnsi="仿宋" w:eastAsia="仿宋"/>
          <w:color w:val="000000"/>
        </w:rPr>
        <w:t>一、收</w:t>
      </w:r>
      <w:r>
        <w:rPr>
          <w:rFonts w:hint="eastAsia" w:ascii="仿宋" w:hAnsi="仿宋" w:eastAsia="仿宋"/>
          <w:bCs w:val="0"/>
        </w:rPr>
        <w:t>入支出决算总表</w:t>
      </w:r>
      <w:r>
        <w:tab/>
      </w:r>
      <w:r>
        <w:fldChar w:fldCharType="begin"/>
      </w:r>
      <w:r>
        <w:instrText xml:space="preserve"> PAGEREF _Toc21471 \h </w:instrText>
      </w:r>
      <w:r>
        <w:fldChar w:fldCharType="separate"/>
      </w:r>
      <w:r>
        <w:t>26</w:t>
      </w:r>
      <w:r>
        <w:fldChar w:fldCharType="end"/>
      </w:r>
    </w:p>
    <w:p>
      <w:pPr>
        <w:pStyle w:val="16"/>
        <w:tabs>
          <w:tab w:val="right" w:leader="dot" w:pos="8306"/>
        </w:tabs>
      </w:pPr>
      <w:r>
        <w:rPr>
          <w:rFonts w:hint="eastAsia" w:ascii="仿宋" w:hAnsi="仿宋" w:eastAsia="仿宋"/>
          <w:color w:val="000000"/>
        </w:rPr>
        <w:t>二、收</w:t>
      </w:r>
      <w:r>
        <w:rPr>
          <w:rFonts w:hint="eastAsia" w:ascii="仿宋" w:hAnsi="仿宋" w:eastAsia="仿宋"/>
          <w:bCs w:val="0"/>
        </w:rPr>
        <w:t>入决算表</w:t>
      </w:r>
      <w:r>
        <w:tab/>
      </w:r>
      <w:r>
        <w:fldChar w:fldCharType="begin"/>
      </w:r>
      <w:r>
        <w:instrText xml:space="preserve"> PAGEREF _Toc22101 \h </w:instrText>
      </w:r>
      <w:r>
        <w:fldChar w:fldCharType="separate"/>
      </w:r>
      <w:r>
        <w:t>26</w:t>
      </w:r>
      <w:r>
        <w:fldChar w:fldCharType="end"/>
      </w:r>
    </w:p>
    <w:p>
      <w:pPr>
        <w:pStyle w:val="16"/>
        <w:tabs>
          <w:tab w:val="right" w:leader="dot" w:pos="8306"/>
        </w:tabs>
      </w:pPr>
      <w:r>
        <w:rPr>
          <w:rFonts w:hint="eastAsia" w:ascii="仿宋" w:hAnsi="仿宋" w:eastAsia="仿宋"/>
          <w:bCs w:val="0"/>
        </w:rPr>
        <w:t>三、</w:t>
      </w:r>
      <w:r>
        <w:rPr>
          <w:rFonts w:hint="eastAsia" w:ascii="仿宋" w:hAnsi="仿宋" w:eastAsia="仿宋"/>
          <w:color w:val="000000"/>
        </w:rPr>
        <w:t>支</w:t>
      </w:r>
      <w:r>
        <w:rPr>
          <w:rFonts w:hint="eastAsia" w:ascii="仿宋" w:hAnsi="仿宋" w:eastAsia="仿宋"/>
          <w:bCs w:val="0"/>
        </w:rPr>
        <w:t>出决算表</w:t>
      </w:r>
      <w:r>
        <w:tab/>
      </w:r>
      <w:r>
        <w:fldChar w:fldCharType="begin"/>
      </w:r>
      <w:r>
        <w:instrText xml:space="preserve"> PAGEREF _Toc12764 \h </w:instrText>
      </w:r>
      <w:r>
        <w:fldChar w:fldCharType="separate"/>
      </w:r>
      <w:r>
        <w:t>26</w:t>
      </w:r>
      <w:r>
        <w:fldChar w:fldCharType="end"/>
      </w:r>
    </w:p>
    <w:p>
      <w:pPr>
        <w:pStyle w:val="16"/>
        <w:tabs>
          <w:tab w:val="right" w:leader="dot" w:pos="8306"/>
        </w:tabs>
      </w:pPr>
      <w:r>
        <w:rPr>
          <w:rFonts w:hint="eastAsia" w:ascii="仿宋" w:hAnsi="仿宋" w:eastAsia="仿宋"/>
          <w:bCs w:val="0"/>
        </w:rPr>
        <w:t>四、</w:t>
      </w:r>
      <w:r>
        <w:rPr>
          <w:rFonts w:hint="eastAsia" w:ascii="仿宋" w:hAnsi="仿宋" w:eastAsia="仿宋"/>
          <w:color w:val="000000"/>
        </w:rPr>
        <w:t>财</w:t>
      </w:r>
      <w:r>
        <w:rPr>
          <w:rFonts w:hint="eastAsia" w:ascii="仿宋" w:hAnsi="仿宋" w:eastAsia="仿宋"/>
          <w:bCs w:val="0"/>
        </w:rPr>
        <w:t>政拨款收入支出决算总表</w:t>
      </w:r>
      <w:r>
        <w:tab/>
      </w:r>
      <w:r>
        <w:fldChar w:fldCharType="begin"/>
      </w:r>
      <w:r>
        <w:instrText xml:space="preserve"> PAGEREF _Toc29185 \h </w:instrText>
      </w:r>
      <w:r>
        <w:fldChar w:fldCharType="separate"/>
      </w:r>
      <w:r>
        <w:t>26</w:t>
      </w:r>
      <w:r>
        <w:fldChar w:fldCharType="end"/>
      </w:r>
    </w:p>
    <w:p>
      <w:pPr>
        <w:pStyle w:val="16"/>
        <w:tabs>
          <w:tab w:val="right" w:leader="dot" w:pos="8306"/>
        </w:tabs>
      </w:pPr>
      <w:r>
        <w:rPr>
          <w:rFonts w:hint="eastAsia" w:ascii="仿宋" w:hAnsi="仿宋" w:eastAsia="仿宋"/>
          <w:bCs w:val="0"/>
        </w:rPr>
        <w:t>五、</w:t>
      </w:r>
      <w:r>
        <w:rPr>
          <w:rFonts w:hint="eastAsia" w:ascii="仿宋" w:hAnsi="仿宋" w:eastAsia="仿宋"/>
          <w:color w:val="000000"/>
        </w:rPr>
        <w:t>财</w:t>
      </w:r>
      <w:r>
        <w:rPr>
          <w:rFonts w:hint="eastAsia" w:ascii="仿宋" w:hAnsi="仿宋" w:eastAsia="仿宋"/>
          <w:bCs w:val="0"/>
        </w:rPr>
        <w:t>政拨款支出决算明细表</w:t>
      </w:r>
      <w:r>
        <w:tab/>
      </w:r>
      <w:r>
        <w:fldChar w:fldCharType="begin"/>
      </w:r>
      <w:r>
        <w:instrText xml:space="preserve"> PAGEREF _Toc1818 \h </w:instrText>
      </w:r>
      <w:r>
        <w:fldChar w:fldCharType="separate"/>
      </w:r>
      <w:r>
        <w:t>26</w:t>
      </w:r>
      <w:r>
        <w:fldChar w:fldCharType="end"/>
      </w:r>
    </w:p>
    <w:p>
      <w:pPr>
        <w:pStyle w:val="16"/>
        <w:tabs>
          <w:tab w:val="right" w:leader="dot" w:pos="8306"/>
        </w:tabs>
      </w:pPr>
      <w:r>
        <w:rPr>
          <w:rFonts w:hint="eastAsia" w:ascii="仿宋" w:hAnsi="仿宋" w:eastAsia="仿宋"/>
          <w:bCs w:val="0"/>
        </w:rPr>
        <w:t>六、</w:t>
      </w:r>
      <w:r>
        <w:rPr>
          <w:rFonts w:hint="eastAsia" w:ascii="仿宋" w:hAnsi="仿宋" w:eastAsia="仿宋"/>
          <w:color w:val="000000"/>
        </w:rPr>
        <w:t>一</w:t>
      </w:r>
      <w:r>
        <w:rPr>
          <w:rFonts w:hint="eastAsia" w:ascii="仿宋" w:hAnsi="仿宋" w:eastAsia="仿宋"/>
          <w:bCs w:val="0"/>
        </w:rPr>
        <w:t>般公共预算财政拨款支出决算表</w:t>
      </w:r>
      <w:r>
        <w:tab/>
      </w:r>
      <w:r>
        <w:fldChar w:fldCharType="begin"/>
      </w:r>
      <w:r>
        <w:instrText xml:space="preserve"> PAGEREF _Toc7717 \h </w:instrText>
      </w:r>
      <w:r>
        <w:fldChar w:fldCharType="separate"/>
      </w:r>
      <w:r>
        <w:t>26</w:t>
      </w:r>
      <w:r>
        <w:fldChar w:fldCharType="end"/>
      </w:r>
    </w:p>
    <w:p>
      <w:pPr>
        <w:pStyle w:val="16"/>
        <w:tabs>
          <w:tab w:val="right" w:leader="dot" w:pos="8306"/>
        </w:tabs>
      </w:pPr>
      <w:r>
        <w:rPr>
          <w:rFonts w:hint="eastAsia" w:ascii="仿宋" w:hAnsi="仿宋" w:eastAsia="仿宋"/>
          <w:bCs w:val="0"/>
        </w:rPr>
        <w:t>七、</w:t>
      </w:r>
      <w:r>
        <w:rPr>
          <w:rFonts w:hint="eastAsia" w:ascii="仿宋" w:hAnsi="仿宋" w:eastAsia="仿宋"/>
          <w:color w:val="000000"/>
        </w:rPr>
        <w:t>一</w:t>
      </w:r>
      <w:r>
        <w:rPr>
          <w:rFonts w:hint="eastAsia" w:ascii="仿宋" w:hAnsi="仿宋" w:eastAsia="仿宋"/>
          <w:bCs w:val="0"/>
        </w:rPr>
        <w:t>般公共预算财政拨款支出决算明细表</w:t>
      </w:r>
      <w:r>
        <w:tab/>
      </w:r>
      <w:r>
        <w:fldChar w:fldCharType="begin"/>
      </w:r>
      <w:r>
        <w:instrText xml:space="preserve"> PAGEREF _Toc4404 \h </w:instrText>
      </w:r>
      <w:r>
        <w:fldChar w:fldCharType="separate"/>
      </w:r>
      <w:r>
        <w:t>26</w:t>
      </w:r>
      <w:r>
        <w:fldChar w:fldCharType="end"/>
      </w:r>
    </w:p>
    <w:p>
      <w:pPr>
        <w:pStyle w:val="16"/>
        <w:tabs>
          <w:tab w:val="right" w:leader="dot" w:pos="8306"/>
        </w:tabs>
      </w:pPr>
      <w:r>
        <w:rPr>
          <w:rFonts w:hint="eastAsia" w:ascii="仿宋" w:hAnsi="仿宋" w:eastAsia="仿宋"/>
          <w:bCs w:val="0"/>
        </w:rPr>
        <w:t>八、</w:t>
      </w:r>
      <w:r>
        <w:rPr>
          <w:rFonts w:hint="eastAsia" w:ascii="仿宋" w:hAnsi="仿宋" w:eastAsia="仿宋"/>
          <w:color w:val="000000"/>
        </w:rPr>
        <w:t>一</w:t>
      </w:r>
      <w:r>
        <w:rPr>
          <w:rFonts w:hint="eastAsia" w:ascii="仿宋" w:hAnsi="仿宋" w:eastAsia="仿宋"/>
          <w:bCs w:val="0"/>
        </w:rPr>
        <w:t>般公共预算财政拨款基本支出决算表</w:t>
      </w:r>
      <w:r>
        <w:tab/>
      </w:r>
      <w:r>
        <w:fldChar w:fldCharType="begin"/>
      </w:r>
      <w:r>
        <w:instrText xml:space="preserve"> PAGEREF _Toc7652 \h </w:instrText>
      </w:r>
      <w:r>
        <w:fldChar w:fldCharType="separate"/>
      </w:r>
      <w:r>
        <w:t>26</w:t>
      </w:r>
      <w:r>
        <w:fldChar w:fldCharType="end"/>
      </w:r>
    </w:p>
    <w:p>
      <w:pPr>
        <w:pStyle w:val="16"/>
        <w:tabs>
          <w:tab w:val="right" w:leader="dot" w:pos="8306"/>
        </w:tabs>
      </w:pPr>
      <w:r>
        <w:rPr>
          <w:rFonts w:hint="eastAsia" w:ascii="仿宋" w:hAnsi="仿宋" w:eastAsia="仿宋"/>
          <w:bCs w:val="0"/>
        </w:rPr>
        <w:t>九、</w:t>
      </w:r>
      <w:r>
        <w:rPr>
          <w:rFonts w:hint="eastAsia" w:ascii="仿宋" w:hAnsi="仿宋" w:eastAsia="仿宋"/>
          <w:color w:val="000000"/>
        </w:rPr>
        <w:t>一</w:t>
      </w:r>
      <w:r>
        <w:rPr>
          <w:rFonts w:hint="eastAsia" w:ascii="仿宋" w:hAnsi="仿宋" w:eastAsia="仿宋"/>
          <w:bCs w:val="0"/>
        </w:rPr>
        <w:t>般公共预算财政拨款项目支出决算表</w:t>
      </w:r>
      <w:r>
        <w:tab/>
      </w:r>
      <w:r>
        <w:fldChar w:fldCharType="begin"/>
      </w:r>
      <w:r>
        <w:instrText xml:space="preserve"> PAGEREF _Toc23276 \h </w:instrText>
      </w:r>
      <w:r>
        <w:fldChar w:fldCharType="separate"/>
      </w:r>
      <w:r>
        <w:t>26</w:t>
      </w:r>
      <w:r>
        <w:fldChar w:fldCharType="end"/>
      </w:r>
    </w:p>
    <w:p>
      <w:pPr>
        <w:pStyle w:val="16"/>
        <w:tabs>
          <w:tab w:val="right" w:leader="dot" w:pos="8306"/>
        </w:tabs>
      </w:pPr>
      <w:r>
        <w:rPr>
          <w:rFonts w:hint="eastAsia" w:ascii="仿宋" w:hAnsi="仿宋" w:eastAsia="仿宋"/>
          <w:bCs w:val="0"/>
        </w:rPr>
        <w:t>十、</w:t>
      </w:r>
      <w:r>
        <w:rPr>
          <w:rFonts w:hint="eastAsia" w:ascii="仿宋" w:hAnsi="仿宋" w:eastAsia="仿宋"/>
          <w:color w:val="000000"/>
        </w:rPr>
        <w:t>一</w:t>
      </w:r>
      <w:r>
        <w:rPr>
          <w:rFonts w:hint="eastAsia" w:ascii="仿宋" w:hAnsi="仿宋" w:eastAsia="仿宋"/>
          <w:bCs w:val="0"/>
        </w:rPr>
        <w:t>般公共预算财政拨款“三公”经费支出决算表</w:t>
      </w:r>
      <w:r>
        <w:tab/>
      </w:r>
      <w:r>
        <w:fldChar w:fldCharType="begin"/>
      </w:r>
      <w:r>
        <w:instrText xml:space="preserve"> PAGEREF _Toc31870 \h </w:instrText>
      </w:r>
      <w:r>
        <w:fldChar w:fldCharType="separate"/>
      </w:r>
      <w:r>
        <w:t>26</w:t>
      </w:r>
      <w:r>
        <w:fldChar w:fldCharType="end"/>
      </w:r>
    </w:p>
    <w:p>
      <w:pPr>
        <w:pStyle w:val="16"/>
        <w:tabs>
          <w:tab w:val="right" w:leader="dot" w:pos="8306"/>
        </w:tabs>
      </w:pPr>
      <w:r>
        <w:rPr>
          <w:rFonts w:hint="eastAsia" w:ascii="仿宋" w:hAnsi="仿宋" w:eastAsia="仿宋"/>
          <w:bCs w:val="0"/>
        </w:rPr>
        <w:t>十一、</w:t>
      </w:r>
      <w:r>
        <w:rPr>
          <w:rFonts w:hint="eastAsia" w:ascii="仿宋" w:hAnsi="仿宋" w:eastAsia="仿宋"/>
          <w:color w:val="000000"/>
        </w:rPr>
        <w:t>政</w:t>
      </w:r>
      <w:r>
        <w:rPr>
          <w:rFonts w:hint="eastAsia" w:ascii="仿宋" w:hAnsi="仿宋" w:eastAsia="仿宋"/>
          <w:bCs w:val="0"/>
        </w:rPr>
        <w:t>府性基金预算财政拨款收入支出决算表</w:t>
      </w:r>
      <w:r>
        <w:tab/>
      </w:r>
      <w:r>
        <w:fldChar w:fldCharType="begin"/>
      </w:r>
      <w:r>
        <w:instrText xml:space="preserve"> PAGEREF _Toc18429 \h </w:instrText>
      </w:r>
      <w:r>
        <w:fldChar w:fldCharType="separate"/>
      </w:r>
      <w:r>
        <w:t>26</w:t>
      </w:r>
      <w:r>
        <w:fldChar w:fldCharType="end"/>
      </w:r>
    </w:p>
    <w:p>
      <w:pPr>
        <w:pStyle w:val="16"/>
        <w:tabs>
          <w:tab w:val="right" w:leader="dot" w:pos="8306"/>
        </w:tabs>
      </w:pPr>
      <w:r>
        <w:rPr>
          <w:rFonts w:hint="eastAsia" w:ascii="仿宋" w:hAnsi="仿宋" w:eastAsia="仿宋"/>
          <w:bCs w:val="0"/>
        </w:rPr>
        <w:t>十二、</w:t>
      </w:r>
      <w:r>
        <w:rPr>
          <w:rFonts w:hint="eastAsia" w:ascii="仿宋" w:hAnsi="仿宋" w:eastAsia="仿宋"/>
          <w:color w:val="000000"/>
        </w:rPr>
        <w:t>政</w:t>
      </w:r>
      <w:r>
        <w:rPr>
          <w:rFonts w:hint="eastAsia" w:ascii="仿宋" w:hAnsi="仿宋" w:eastAsia="仿宋"/>
          <w:bCs w:val="0"/>
        </w:rPr>
        <w:t>府性基金预算财政拨款“三公”经费支出决算表</w:t>
      </w:r>
      <w:r>
        <w:tab/>
      </w:r>
      <w:r>
        <w:fldChar w:fldCharType="begin"/>
      </w:r>
      <w:r>
        <w:instrText xml:space="preserve"> PAGEREF _Toc26189 \h </w:instrText>
      </w:r>
      <w:r>
        <w:fldChar w:fldCharType="separate"/>
      </w:r>
      <w:r>
        <w:t>26</w:t>
      </w:r>
      <w:r>
        <w:fldChar w:fldCharType="end"/>
      </w:r>
    </w:p>
    <w:p>
      <w:pPr>
        <w:pStyle w:val="16"/>
        <w:tabs>
          <w:tab w:val="right" w:leader="dot" w:pos="8306"/>
        </w:tabs>
      </w:pPr>
      <w:r>
        <w:rPr>
          <w:rFonts w:hint="eastAsia" w:ascii="仿宋" w:hAnsi="仿宋" w:eastAsia="仿宋"/>
          <w:bCs w:val="0"/>
        </w:rPr>
        <w:t>十三、</w:t>
      </w:r>
      <w:r>
        <w:rPr>
          <w:rFonts w:hint="eastAsia" w:ascii="仿宋" w:hAnsi="仿宋" w:eastAsia="仿宋"/>
          <w:color w:val="000000"/>
        </w:rPr>
        <w:t>国</w:t>
      </w:r>
      <w:r>
        <w:rPr>
          <w:rFonts w:hint="eastAsia" w:ascii="仿宋" w:hAnsi="仿宋" w:eastAsia="仿宋"/>
          <w:bCs w:val="0"/>
        </w:rPr>
        <w:t>有资本经营预算财政拨款支出决算表</w:t>
      </w:r>
      <w:r>
        <w:tab/>
      </w:r>
      <w:r>
        <w:fldChar w:fldCharType="begin"/>
      </w:r>
      <w:r>
        <w:instrText xml:space="preserve"> PAGEREF _Toc5280 \h </w:instrText>
      </w:r>
      <w:r>
        <w:fldChar w:fldCharType="separate"/>
      </w:r>
      <w:r>
        <w:t>26</w:t>
      </w:r>
      <w:r>
        <w:fldChar w:fldCharType="end"/>
      </w:r>
    </w:p>
    <w:p>
      <w:pPr>
        <w:pStyle w:val="16"/>
        <w:tabs>
          <w:tab w:val="right" w:leader="dot" w:pos="8306"/>
        </w:tabs>
      </w:pPr>
      <w:r>
        <w:rPr>
          <w:rFonts w:hint="eastAsia" w:ascii="仿宋" w:hAnsi="仿宋" w:eastAsia="仿宋"/>
          <w:bCs w:val="0"/>
        </w:rPr>
        <w:t>十四、国有资本经营预算财政拨款支出决算表</w:t>
      </w:r>
      <w:r>
        <w:tab/>
      </w:r>
      <w:r>
        <w:fldChar w:fldCharType="begin"/>
      </w:r>
      <w:r>
        <w:instrText xml:space="preserve"> PAGEREF _Toc2769 \h </w:instrText>
      </w:r>
      <w:r>
        <w:fldChar w:fldCharType="separate"/>
      </w:r>
      <w:r>
        <w:t>26</w:t>
      </w:r>
      <w:r>
        <w:fldChar w:fldCharType="end"/>
      </w:r>
    </w:p>
    <w:p>
      <w:pPr>
        <w:keepNext w:val="0"/>
        <w:keepLines w:val="0"/>
        <w:pageBreakBefore w:val="0"/>
        <w:widowControl w:val="0"/>
        <w:kinsoku/>
        <w:wordWrap/>
        <w:overflowPunct/>
        <w:topLinePunct w:val="0"/>
        <w:autoSpaceDE/>
        <w:autoSpaceDN/>
        <w:bidi w:val="0"/>
        <w:adjustRightInd/>
        <w:snapToGrid/>
        <w:ind w:left="0"/>
        <w:textAlignment w:val="auto"/>
        <w:rPr>
          <w:rFonts w:asciiTheme="minorHAnsi" w:eastAsiaTheme="minorHAnsi"/>
          <w:bCs/>
          <w:caps/>
          <w:szCs w:val="20"/>
        </w:rPr>
      </w:pPr>
      <w:r>
        <w:rPr>
          <w:rFonts w:asciiTheme="minorHAnsi" w:eastAsiaTheme="minorHAnsi"/>
          <w:bCs/>
          <w:caps/>
          <w:szCs w:val="20"/>
        </w:rPr>
        <w:fldChar w:fldCharType="end"/>
      </w:r>
      <w:bookmarkStart w:id="12" w:name="_Toc15396599"/>
      <w:bookmarkStart w:id="13" w:name="_Toc15377196"/>
      <w:bookmarkStart w:id="14" w:name="_Toc79163601"/>
    </w:p>
    <w:p>
      <w:pPr>
        <w:pStyle w:val="2"/>
        <w:rPr>
          <w:rFonts w:asciiTheme="minorHAnsi" w:eastAsiaTheme="minorHAnsi"/>
          <w:bCs/>
          <w:caps/>
          <w:szCs w:val="20"/>
        </w:rPr>
      </w:pPr>
    </w:p>
    <w:p>
      <w:pPr>
        <w:rPr>
          <w:rFonts w:asciiTheme="minorHAnsi" w:eastAsiaTheme="minorHAnsi"/>
          <w:bCs/>
          <w:caps/>
          <w:szCs w:val="20"/>
        </w:rPr>
      </w:pPr>
    </w:p>
    <w:p>
      <w:pPr>
        <w:pStyle w:val="2"/>
        <w:rPr>
          <w:rFonts w:asciiTheme="minorHAnsi" w:eastAsiaTheme="minorHAnsi"/>
          <w:bCs/>
          <w:caps/>
          <w:szCs w:val="20"/>
        </w:rPr>
      </w:pPr>
    </w:p>
    <w:p>
      <w:pPr>
        <w:rPr>
          <w:rFonts w:asciiTheme="minorHAnsi" w:eastAsiaTheme="minorHAnsi"/>
          <w:bCs/>
          <w:caps/>
          <w:szCs w:val="20"/>
        </w:rPr>
      </w:pPr>
    </w:p>
    <w:p>
      <w:pPr>
        <w:pStyle w:val="2"/>
        <w:rPr>
          <w:rFonts w:asciiTheme="minorHAnsi" w:eastAsiaTheme="minorHAnsi"/>
          <w:bCs/>
          <w:caps/>
          <w:szCs w:val="20"/>
        </w:rPr>
      </w:pPr>
    </w:p>
    <w:p>
      <w:pPr>
        <w:rPr>
          <w:rFonts w:asciiTheme="minorHAnsi" w:eastAsiaTheme="minorHAnsi"/>
          <w:bCs/>
          <w:caps/>
          <w:szCs w:val="20"/>
        </w:rPr>
      </w:pPr>
    </w:p>
    <w:p>
      <w:pPr>
        <w:pStyle w:val="2"/>
        <w:rPr>
          <w:rFonts w:asciiTheme="minorHAnsi" w:eastAsiaTheme="minorHAnsi"/>
          <w:bCs/>
          <w:caps/>
          <w:szCs w:val="20"/>
        </w:rPr>
      </w:pPr>
    </w:p>
    <w:p>
      <w:pPr>
        <w:rPr>
          <w:rFonts w:asciiTheme="minorHAnsi" w:eastAsiaTheme="minorHAnsi"/>
          <w:bCs/>
          <w:caps/>
          <w:szCs w:val="20"/>
        </w:rPr>
      </w:pPr>
    </w:p>
    <w:p>
      <w:pPr>
        <w:pStyle w:val="2"/>
        <w:rPr>
          <w:rFonts w:asciiTheme="minorHAnsi" w:eastAsiaTheme="minorHAnsi"/>
          <w:bCs/>
          <w:caps/>
          <w:szCs w:val="20"/>
        </w:rPr>
      </w:pPr>
    </w:p>
    <w:p>
      <w:pPr>
        <w:rPr>
          <w:rFonts w:asciiTheme="minorHAnsi" w:eastAsiaTheme="minorHAnsi"/>
          <w:bCs/>
          <w:caps/>
          <w:szCs w:val="20"/>
        </w:rPr>
      </w:pPr>
    </w:p>
    <w:p>
      <w:pPr>
        <w:pStyle w:val="2"/>
        <w:rPr>
          <w:rFonts w:asciiTheme="minorHAnsi" w:eastAsiaTheme="minorHAnsi"/>
          <w:bCs/>
          <w:caps/>
          <w:szCs w:val="20"/>
        </w:rPr>
      </w:pPr>
    </w:p>
    <w:p>
      <w:pPr>
        <w:rPr>
          <w:rFonts w:asciiTheme="minorHAnsi" w:eastAsiaTheme="minorHAnsi"/>
          <w:bCs/>
          <w:caps/>
          <w:szCs w:val="20"/>
        </w:rPr>
      </w:pPr>
    </w:p>
    <w:p>
      <w:pPr>
        <w:pStyle w:val="2"/>
        <w:rPr>
          <w:rFonts w:asciiTheme="minorHAnsi" w:eastAsiaTheme="minorHAnsi"/>
          <w:bCs/>
          <w:caps/>
          <w:szCs w:val="20"/>
        </w:rPr>
      </w:pPr>
    </w:p>
    <w:p>
      <w:pPr>
        <w:rPr>
          <w:rFonts w:asciiTheme="minorHAnsi" w:eastAsiaTheme="minorHAnsi"/>
          <w:bCs/>
          <w:caps/>
          <w:szCs w:val="20"/>
        </w:rPr>
      </w:pPr>
    </w:p>
    <w:p>
      <w:pPr>
        <w:pStyle w:val="2"/>
        <w:rPr>
          <w:rFonts w:asciiTheme="minorHAnsi" w:eastAsiaTheme="minorHAnsi"/>
          <w:bCs/>
          <w:caps/>
          <w:szCs w:val="20"/>
        </w:rPr>
      </w:pP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b w:val="0"/>
        </w:rPr>
        <w:sectPr>
          <w:footerReference r:id="rId4" w:type="first"/>
          <w:headerReference r:id="rId3" w:type="default"/>
          <w:pgSz w:w="11906" w:h="16838"/>
          <w:pgMar w:top="1440" w:right="1800" w:bottom="1440" w:left="1800" w:header="851" w:footer="992" w:gutter="0"/>
          <w:pgNumType w:start="1"/>
          <w:cols w:space="425" w:num="1"/>
          <w:docGrid w:type="lines" w:linePitch="312" w:charSpace="0"/>
        </w:sectPr>
      </w:pP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560" w:lineRule="exact"/>
        <w:ind w:firstLine="2640" w:firstLineChars="600"/>
        <w:jc w:val="both"/>
        <w:textAlignment w:val="auto"/>
        <w:rPr>
          <w:rStyle w:val="24"/>
          <w:rFonts w:ascii="黑体" w:hAnsi="黑体" w:eastAsia="黑体"/>
          <w:b/>
          <w:bCs w:val="0"/>
        </w:rPr>
      </w:pPr>
      <w:bookmarkStart w:id="15" w:name="_Toc27315"/>
      <w:r>
        <w:rPr>
          <w:rFonts w:hint="eastAsia" w:ascii="黑体" w:hAnsi="黑体" w:eastAsia="黑体"/>
          <w:b w:val="0"/>
        </w:rPr>
        <w:t>第一部分</w:t>
      </w:r>
      <w:r>
        <w:rPr>
          <w:rFonts w:ascii="黑体" w:hAnsi="黑体" w:eastAsia="黑体"/>
          <w:b w:val="0"/>
        </w:rPr>
        <w:t xml:space="preserve"> </w:t>
      </w:r>
      <w:r>
        <w:rPr>
          <w:rStyle w:val="24"/>
          <w:rFonts w:hint="eastAsia" w:ascii="黑体" w:hAnsi="黑体" w:eastAsia="黑体"/>
          <w:b w:val="0"/>
          <w:bCs w:val="0"/>
        </w:rPr>
        <w:t>部门概况</w:t>
      </w:r>
      <w:bookmarkEnd w:id="12"/>
      <w:bookmarkEnd w:id="13"/>
      <w:bookmarkEnd w:id="14"/>
      <w:bookmarkEnd w:id="15"/>
    </w:p>
    <w:p>
      <w:pPr>
        <w:pStyle w:val="4"/>
        <w:pageBreakBefore w:val="0"/>
        <w:widowControl w:val="0"/>
        <w:kinsoku/>
        <w:wordWrap/>
        <w:overflowPunct/>
        <w:topLinePunct w:val="0"/>
        <w:autoSpaceDE/>
        <w:autoSpaceDN/>
        <w:bidi w:val="0"/>
        <w:spacing w:before="0" w:after="0" w:line="560" w:lineRule="exact"/>
        <w:textAlignment w:val="auto"/>
        <w:rPr>
          <w:rFonts w:hint="eastAsia" w:ascii="黑体" w:hAnsi="黑体" w:eastAsia="黑体"/>
          <w:b w:val="0"/>
          <w:color w:val="000000"/>
        </w:rPr>
      </w:pPr>
      <w:bookmarkStart w:id="16" w:name="_Toc15396600"/>
      <w:bookmarkStart w:id="17" w:name="_Toc15377197"/>
      <w:bookmarkStart w:id="18" w:name="_Toc79163602"/>
    </w:p>
    <w:p>
      <w:pPr>
        <w:pStyle w:val="4"/>
        <w:pageBreakBefore w:val="0"/>
        <w:widowControl w:val="0"/>
        <w:kinsoku/>
        <w:wordWrap/>
        <w:overflowPunct/>
        <w:topLinePunct w:val="0"/>
        <w:autoSpaceDE/>
        <w:autoSpaceDN/>
        <w:bidi w:val="0"/>
        <w:spacing w:before="0" w:after="0" w:line="560" w:lineRule="exact"/>
        <w:textAlignment w:val="auto"/>
        <w:rPr>
          <w:rStyle w:val="25"/>
          <w:rFonts w:ascii="仿宋" w:hAnsi="仿宋" w:eastAsia="仿宋"/>
          <w:b w:val="0"/>
          <w:bCs w:val="0"/>
        </w:rPr>
      </w:pPr>
      <w:bookmarkStart w:id="19" w:name="_Toc7199"/>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6"/>
      <w:bookmarkEnd w:id="17"/>
      <w:bookmarkEnd w:id="18"/>
      <w:bookmarkEnd w:id="19"/>
    </w:p>
    <w:p>
      <w:pPr>
        <w:pStyle w:val="2"/>
        <w:pageBreakBefore w:val="0"/>
        <w:widowControl w:val="0"/>
        <w:kinsoku/>
        <w:wordWrap/>
        <w:overflowPunct/>
        <w:topLinePunct w:val="0"/>
        <w:autoSpaceDE/>
        <w:autoSpaceDN/>
        <w:bidi w:val="0"/>
        <w:adjustRightInd w:val="0"/>
        <w:snapToGrid w:val="0"/>
        <w:spacing w:beforeLines="0" w:line="560" w:lineRule="exact"/>
        <w:ind w:firstLine="672" w:firstLineChars="210"/>
        <w:textAlignment w:val="auto"/>
        <w:outlineLvl w:val="2"/>
        <w:rPr>
          <w:rFonts w:ascii="仿宋" w:hAnsi="仿宋" w:eastAsia="仿宋"/>
          <w:bCs/>
          <w:color w:val="000000"/>
          <w:sz w:val="32"/>
          <w:szCs w:val="32"/>
        </w:rPr>
      </w:pPr>
      <w:bookmarkStart w:id="20" w:name="_Toc79163603"/>
      <w:bookmarkStart w:id="21" w:name="_Toc12226"/>
      <w:bookmarkStart w:id="22" w:name="_Toc15378445"/>
      <w:bookmarkStart w:id="23" w:name="_Toc15377198"/>
      <w:r>
        <w:rPr>
          <w:rFonts w:hint="eastAsia" w:ascii="仿宋" w:hAnsi="仿宋" w:eastAsia="仿宋"/>
          <w:bCs/>
          <w:color w:val="000000"/>
          <w:sz w:val="32"/>
          <w:szCs w:val="32"/>
        </w:rPr>
        <w:t>（一）主要职能。</w:t>
      </w:r>
      <w:bookmarkEnd w:id="20"/>
      <w:bookmarkEnd w:id="21"/>
    </w:p>
    <w:bookmarkEnd w:id="22"/>
    <w:bookmarkEnd w:id="23"/>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bookmarkStart w:id="24" w:name="_Toc15377199"/>
      <w:bookmarkStart w:id="25" w:name="_Toc79163604"/>
      <w:bookmarkStart w:id="26" w:name="_Toc15378446"/>
      <w:r>
        <w:rPr>
          <w:rFonts w:hint="eastAsia" w:ascii="仿宋" w:hAnsi="仿宋" w:eastAsia="仿宋"/>
          <w:bCs/>
          <w:color w:val="000000"/>
          <w:sz w:val="32"/>
          <w:szCs w:val="32"/>
          <w:lang w:val="zh-CN" w:eastAsia="zh-CN"/>
        </w:rPr>
        <w:t>1.深入贯彻习近平新时代中国特色社会主义思想，深入贯彻党的路线方针政策和决策部署，统一检察队伍思想和行动，坚持党对检察工作的绝对领导，坚决维护习近平总书记的核心地位，坚决维护党中央权威和集中统一领导。</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lang w:val="zh-CN" w:eastAsia="zh-CN"/>
        </w:rPr>
        <w:t>.按照上级检察机关确定的工作方针，研究制定壤塘县人民检察院检察工作规划，部署检察工作任务。</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lang w:val="zh-CN" w:eastAsia="zh-CN"/>
        </w:rPr>
        <w:t>.依照法律规定，对由壤塘县人民检察院直接受理的刑事案件行使侦查权。</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en-US" w:eastAsia="zh-CN"/>
        </w:rPr>
        <w:t>4</w:t>
      </w:r>
      <w:r>
        <w:rPr>
          <w:rFonts w:hint="eastAsia" w:ascii="仿宋" w:hAnsi="仿宋" w:eastAsia="仿宋"/>
          <w:bCs/>
          <w:color w:val="000000"/>
          <w:sz w:val="32"/>
          <w:szCs w:val="32"/>
          <w:lang w:val="zh-CN" w:eastAsia="zh-CN"/>
        </w:rPr>
        <w:t>.对刑事案件依法审查批准逮捕、决定逮捕、提起公诉。</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en-US" w:eastAsia="zh-CN"/>
        </w:rPr>
        <w:t>5</w:t>
      </w:r>
      <w:r>
        <w:rPr>
          <w:rFonts w:hint="eastAsia" w:ascii="仿宋" w:hAnsi="仿宋" w:eastAsia="仿宋"/>
          <w:bCs/>
          <w:color w:val="000000"/>
          <w:sz w:val="32"/>
          <w:szCs w:val="32"/>
          <w:lang w:val="zh-CN" w:eastAsia="zh-CN"/>
        </w:rPr>
        <w:t>.负责应由壤塘县人民检察院承办的刑事、民事、行政诉讼活动及刑事、民事、行政判决和裁定等生效法律文书执行的法律监督工作。</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en-US" w:eastAsia="zh-CN"/>
        </w:rPr>
        <w:t>6</w:t>
      </w:r>
      <w:r>
        <w:rPr>
          <w:rFonts w:hint="eastAsia" w:ascii="仿宋" w:hAnsi="仿宋" w:eastAsia="仿宋"/>
          <w:bCs/>
          <w:color w:val="000000"/>
          <w:sz w:val="32"/>
          <w:szCs w:val="32"/>
          <w:lang w:val="zh-CN" w:eastAsia="zh-CN"/>
        </w:rPr>
        <w:t>.负责应由壤塘县人民检察院承办的提起公益诉讼工作。</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en-US" w:eastAsia="zh-CN"/>
        </w:rPr>
        <w:t>7</w:t>
      </w:r>
      <w:r>
        <w:rPr>
          <w:rFonts w:hint="eastAsia" w:ascii="仿宋" w:hAnsi="仿宋" w:eastAsia="仿宋"/>
          <w:bCs/>
          <w:color w:val="000000"/>
          <w:sz w:val="32"/>
          <w:szCs w:val="32"/>
          <w:lang w:val="zh-CN" w:eastAsia="zh-CN"/>
        </w:rPr>
        <w:t>.负责应由壤塘县人民检察院承办的对监狱、看守所等执法活动的法律监督工作。</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en-US" w:eastAsia="zh-CN"/>
        </w:rPr>
        <w:t>8</w:t>
      </w:r>
      <w:r>
        <w:rPr>
          <w:rFonts w:hint="eastAsia" w:ascii="仿宋" w:hAnsi="仿宋" w:eastAsia="仿宋"/>
          <w:bCs/>
          <w:color w:val="000000"/>
          <w:sz w:val="32"/>
          <w:szCs w:val="32"/>
          <w:lang w:val="zh-CN" w:eastAsia="zh-CN"/>
        </w:rPr>
        <w:t>.受理向壤塘县人民检察院的控告申诉。</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lang w:val="zh-CN" w:eastAsia="zh-CN"/>
        </w:rPr>
        <w:t>.开展检察机关的理论研究工作。</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en-US" w:eastAsia="zh-CN"/>
        </w:rPr>
        <w:t>10</w:t>
      </w:r>
      <w:r>
        <w:rPr>
          <w:rFonts w:hint="eastAsia" w:ascii="仿宋" w:hAnsi="仿宋" w:eastAsia="仿宋"/>
          <w:bCs/>
          <w:color w:val="000000"/>
          <w:sz w:val="32"/>
          <w:szCs w:val="32"/>
          <w:lang w:val="zh-CN" w:eastAsia="zh-CN"/>
        </w:rPr>
        <w:t>.负责壤塘县人民检察院队伍建设和思想政治工作。依法管理检察官及其他检察人员的工作，协同地方主管部门管理人民检察院的机构设置及人员编制，制定相关人员管理办法，组织开展壤塘县人民检察院教育培训工作。</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zh-CN" w:eastAsia="zh-CN"/>
        </w:rPr>
        <w:t>1</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lang w:val="zh-CN" w:eastAsia="zh-CN"/>
        </w:rPr>
        <w:t>.协同地方党委主管部门管理和考核除检察长和其他领导班子成员以外的检察机关工作人员。</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zh-CN" w:eastAsia="zh-CN"/>
        </w:rPr>
        <w:t>1</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lang w:val="zh-CN" w:eastAsia="zh-CN"/>
        </w:rPr>
        <w:t>.开展壤塘县人民检察院的检务督察工作。</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zh-CN" w:eastAsia="zh-CN"/>
        </w:rPr>
        <w:t>1</w:t>
      </w: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lang w:val="zh-CN" w:eastAsia="zh-CN"/>
        </w:rPr>
        <w:t>.开展壤塘县人民检察院的财务装备、检察技术信息工作。</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仿宋" w:hAnsi="仿宋" w:eastAsia="仿宋"/>
          <w:bCs/>
          <w:color w:val="000000"/>
          <w:sz w:val="32"/>
          <w:szCs w:val="32"/>
          <w:lang w:val="zh-CN" w:eastAsia="zh-CN"/>
        </w:rPr>
      </w:pPr>
      <w:r>
        <w:rPr>
          <w:rFonts w:hint="eastAsia" w:ascii="仿宋" w:hAnsi="仿宋" w:eastAsia="仿宋"/>
          <w:bCs/>
          <w:color w:val="000000"/>
          <w:sz w:val="32"/>
          <w:szCs w:val="32"/>
          <w:lang w:val="zh-CN" w:eastAsia="zh-CN"/>
        </w:rPr>
        <w:t>1</w:t>
      </w:r>
      <w:r>
        <w:rPr>
          <w:rFonts w:hint="eastAsia" w:ascii="仿宋" w:hAnsi="仿宋" w:eastAsia="仿宋"/>
          <w:bCs/>
          <w:color w:val="000000"/>
          <w:sz w:val="32"/>
          <w:szCs w:val="32"/>
          <w:lang w:val="en-US" w:eastAsia="zh-CN"/>
        </w:rPr>
        <w:t>4</w:t>
      </w:r>
      <w:r>
        <w:rPr>
          <w:rFonts w:hint="eastAsia" w:ascii="仿宋" w:hAnsi="仿宋" w:eastAsia="仿宋"/>
          <w:bCs/>
          <w:color w:val="000000"/>
          <w:sz w:val="32"/>
          <w:szCs w:val="32"/>
          <w:lang w:val="zh-CN" w:eastAsia="zh-CN"/>
        </w:rPr>
        <w:t>.负责其他应由壤塘县人民检察院承办的事项。</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 w:hAnsi="仿宋" w:eastAsia="仿宋"/>
          <w:bCs/>
          <w:color w:val="000000"/>
          <w:sz w:val="32"/>
          <w:szCs w:val="32"/>
        </w:rPr>
      </w:pPr>
      <w:bookmarkStart w:id="27" w:name="_Toc83"/>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rPr>
        <w:t>1年重点工作完成情况</w:t>
      </w:r>
      <w:bookmarkEnd w:id="24"/>
      <w:bookmarkEnd w:id="25"/>
      <w:bookmarkEnd w:id="26"/>
      <w:bookmarkEnd w:id="27"/>
      <w:bookmarkStart w:id="28" w:name="_Toc79163605"/>
      <w:bookmarkStart w:id="29" w:name="_Toc15377200"/>
      <w:bookmarkStart w:id="30" w:name="_Toc15396601"/>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9"/>
        <w:rPr>
          <w:rFonts w:hint="default" w:ascii="Times New Roman" w:hAnsi="Times New Roman" w:eastAsia="仿宋_GB2312"/>
          <w:color w:val="auto"/>
          <w:sz w:val="32"/>
          <w:szCs w:val="32"/>
          <w:lang w:val="en-US" w:eastAsia="zh-CN"/>
        </w:rPr>
      </w:pPr>
      <w:r>
        <w:rPr>
          <w:rFonts w:hint="eastAsia" w:ascii="仿宋_GB2312" w:hAnsi="仿宋_GB2312" w:eastAsia="仿宋_GB2312" w:cs="仿宋_GB2312"/>
          <w:b/>
          <w:i w:val="0"/>
          <w:caps w:val="0"/>
          <w:color w:val="auto"/>
          <w:spacing w:val="0"/>
          <w:sz w:val="32"/>
          <w:szCs w:val="32"/>
          <w:shd w:val="clear" w:color="auto" w:fill="FFFFFF"/>
          <w:lang w:val="en-US" w:eastAsia="zh-CN"/>
        </w:rPr>
        <w:t xml:space="preserve"> 刑事检察提质增效。共受理审查逮捕案件26件39人，</w:t>
      </w:r>
      <w:r>
        <w:rPr>
          <w:rFonts w:hint="eastAsia" w:ascii="Times New Roman" w:hAnsi="Times New Roman" w:eastAsia="仿宋_GB2312"/>
          <w:color w:val="auto"/>
          <w:sz w:val="32"/>
          <w:szCs w:val="32"/>
        </w:rPr>
        <w:t>同比</w:t>
      </w:r>
      <w:r>
        <w:rPr>
          <w:rFonts w:hint="eastAsia" w:ascii="Times New Roman" w:hAnsi="Times New Roman" w:eastAsia="仿宋_GB2312"/>
          <w:color w:val="auto"/>
          <w:sz w:val="32"/>
          <w:szCs w:val="32"/>
          <w:lang w:val="en-US" w:eastAsia="zh-CN"/>
        </w:rPr>
        <w:t>人数</w:t>
      </w:r>
      <w:r>
        <w:rPr>
          <w:rFonts w:hint="eastAsia" w:ascii="Times New Roman" w:hAnsi="Times New Roman" w:eastAsia="仿宋_GB2312"/>
          <w:color w:val="auto"/>
          <w:sz w:val="32"/>
          <w:szCs w:val="32"/>
        </w:rPr>
        <w:t>上升</w:t>
      </w:r>
      <w:r>
        <w:rPr>
          <w:rFonts w:hint="eastAsia" w:ascii="Times New Roman" w:hAnsi="Times New Roman" w:eastAsia="仿宋_GB2312"/>
          <w:color w:val="auto"/>
          <w:sz w:val="32"/>
          <w:szCs w:val="32"/>
          <w:lang w:val="en-US" w:eastAsia="zh-CN"/>
        </w:rPr>
        <w:t>50%</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批准和决定逮捕24件36人，同比人数上升80%，不批准逮捕6件6人，同比持平。办理起诉案件43件62人，同比人数上升21.6%，提起公诉39件60人，同比人数上升71.4%。</w:t>
      </w:r>
      <w:r>
        <w:rPr>
          <w:rFonts w:hint="eastAsia" w:ascii="Times New Roman" w:hAnsi="Times New Roman" w:eastAsia="仿宋_GB2312"/>
          <w:color w:val="auto"/>
          <w:sz w:val="32"/>
          <w:szCs w:val="32"/>
        </w:rPr>
        <w:t>办理</w:t>
      </w:r>
      <w:r>
        <w:rPr>
          <w:rFonts w:hint="eastAsia" w:ascii="Times New Roman" w:hAnsi="Times New Roman" w:eastAsia="仿宋_GB2312"/>
          <w:color w:val="auto"/>
          <w:sz w:val="32"/>
          <w:szCs w:val="32"/>
          <w:lang w:val="en-US" w:eastAsia="zh-CN"/>
        </w:rPr>
        <w:t>立案监督</w:t>
      </w:r>
      <w:r>
        <w:rPr>
          <w:rFonts w:hint="eastAsia" w:ascii="Times New Roman" w:hAnsi="Times New Roman" w:eastAsia="仿宋_GB2312"/>
          <w:color w:val="auto"/>
          <w:sz w:val="32"/>
          <w:szCs w:val="32"/>
        </w:rPr>
        <w:t>案件</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件</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同比持平</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发出纠正违法通知书</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份</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同比上升150%</w:t>
      </w:r>
      <w:r>
        <w:rPr>
          <w:rFonts w:hint="eastAsia" w:ascii="Times New Roman" w:hAnsi="Times New Roman" w:eastAsia="仿宋_GB2312"/>
          <w:color w:val="auto"/>
          <w:sz w:val="32"/>
          <w:szCs w:val="32"/>
        </w:rPr>
        <w:t>。纠正漏罪1件2人，认罪认罚从宽适用率为</w:t>
      </w:r>
      <w:r>
        <w:rPr>
          <w:rFonts w:hint="eastAsia" w:ascii="Times New Roman" w:hAnsi="Times New Roman" w:eastAsia="仿宋_GB2312"/>
          <w:color w:val="auto"/>
          <w:sz w:val="32"/>
          <w:szCs w:val="32"/>
          <w:lang w:val="en-US" w:eastAsia="zh-CN"/>
        </w:rPr>
        <w:t>93.9</w:t>
      </w:r>
      <w:r>
        <w:rPr>
          <w:rFonts w:hint="eastAsia" w:ascii="Times New Roman" w:hAnsi="Times New Roman" w:eastAsia="仿宋_GB2312"/>
          <w:color w:val="auto"/>
          <w:sz w:val="32"/>
          <w:szCs w:val="32"/>
        </w:rPr>
        <w:t>%，提出确定刑量刑建议</w:t>
      </w:r>
      <w:r>
        <w:rPr>
          <w:rFonts w:hint="eastAsia" w:ascii="Times New Roman" w:hAnsi="Times New Roman" w:eastAsia="仿宋_GB2312"/>
          <w:color w:val="auto"/>
          <w:sz w:val="32"/>
          <w:szCs w:val="32"/>
          <w:lang w:val="en-US" w:eastAsia="zh-CN"/>
        </w:rPr>
        <w:t>比例为88.7</w:t>
      </w:r>
      <w:r>
        <w:rPr>
          <w:rFonts w:hint="eastAsia" w:ascii="Times New Roman" w:hAnsi="Times New Roman" w:eastAsia="仿宋_GB2312"/>
          <w:color w:val="auto"/>
          <w:sz w:val="32"/>
          <w:szCs w:val="32"/>
        </w:rPr>
        <w:t>%，法院采纳率为100%，案件比为1:</w:t>
      </w:r>
      <w:r>
        <w:rPr>
          <w:rFonts w:hint="eastAsia" w:ascii="Times New Roman" w:hAnsi="Times New Roman" w:eastAsia="仿宋_GB2312"/>
          <w:color w:val="auto"/>
          <w:sz w:val="32"/>
          <w:szCs w:val="32"/>
          <w:lang w:val="en-US" w:eastAsia="zh-CN"/>
        </w:rPr>
        <w:t>1.17</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办</w:t>
      </w:r>
      <w:r>
        <w:rPr>
          <w:rFonts w:hint="eastAsia" w:ascii="Times New Roman" w:hAnsi="Times New Roman" w:eastAsia="仿宋_GB2312" w:cs="Times New Roman"/>
          <w:color w:val="auto"/>
          <w:sz w:val="32"/>
          <w:szCs w:val="32"/>
          <w:lang w:val="en-US" w:eastAsia="zh-CN"/>
        </w:rPr>
        <w:t>理刑罚执行监督案件 3件，同比上升50%。</w:t>
      </w:r>
      <w:r>
        <w:rPr>
          <w:rFonts w:hint="default" w:ascii="Times New Roman" w:hAnsi="Times New Roman" w:eastAsia="仿宋_GB2312" w:cs="Times New Roman"/>
          <w:color w:val="auto"/>
          <w:sz w:val="32"/>
          <w:szCs w:val="32"/>
          <w:lang w:val="en-US" w:eastAsia="zh-CN"/>
        </w:rPr>
        <w:t>办理重大案件侦</w:t>
      </w:r>
      <w:r>
        <w:rPr>
          <w:rFonts w:hint="default" w:ascii="Times New Roman" w:hAnsi="Times New Roman" w:eastAsia="仿宋_GB2312"/>
          <w:color w:val="auto"/>
          <w:sz w:val="32"/>
          <w:szCs w:val="32"/>
          <w:lang w:val="en-US" w:eastAsia="zh-CN"/>
        </w:rPr>
        <w:t>查终结前讯问合法性审查案件2件2人。</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民事检察稳中有进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val="en-US" w:eastAsia="zh-CN" w:bidi="ar-SA"/>
        </w:rPr>
        <w:t>以民法典的颁布为契机，</w:t>
      </w:r>
      <w:r>
        <w:rPr>
          <w:rFonts w:hint="eastAsia" w:ascii="Times New Roman" w:hAnsi="Times New Roman" w:eastAsia="仿宋_GB2312" w:cs="Times New Roman"/>
          <w:color w:val="auto"/>
          <w:kern w:val="0"/>
          <w:sz w:val="32"/>
          <w:szCs w:val="32"/>
          <w:lang w:val="en-US" w:eastAsia="zh-CN" w:bidi="ar-SA"/>
        </w:rPr>
        <w:t>努力</w:t>
      </w:r>
      <w:r>
        <w:rPr>
          <w:rFonts w:hint="default" w:ascii="Times New Roman" w:hAnsi="Times New Roman" w:eastAsia="仿宋_GB2312" w:cs="Times New Roman"/>
          <w:color w:val="auto"/>
          <w:kern w:val="0"/>
          <w:sz w:val="32"/>
          <w:szCs w:val="32"/>
          <w:lang w:val="en-US" w:eastAsia="zh-CN" w:bidi="ar-SA"/>
        </w:rPr>
        <w:t>构建全方位、多维度、深层次的民事检察工作格局。办理民事审判程序中违法行为监督</w:t>
      </w:r>
      <w:r>
        <w:rPr>
          <w:rFonts w:hint="eastAsia" w:ascii="Times New Roman" w:hAnsi="Times New Roman" w:eastAsia="仿宋_GB2312" w:cs="Times New Roman"/>
          <w:color w:val="auto"/>
          <w:kern w:val="0"/>
          <w:sz w:val="32"/>
          <w:szCs w:val="32"/>
          <w:lang w:val="en-US" w:eastAsia="zh-CN" w:bidi="ar-SA"/>
        </w:rPr>
        <w:t>件3</w:t>
      </w:r>
      <w:r>
        <w:rPr>
          <w:rFonts w:hint="default" w:ascii="Times New Roman" w:hAnsi="Times New Roman" w:eastAsia="仿宋_GB2312" w:cs="Times New Roman"/>
          <w:color w:val="auto"/>
          <w:kern w:val="0"/>
          <w:sz w:val="32"/>
          <w:szCs w:val="32"/>
          <w:lang w:val="en-US" w:eastAsia="zh-CN" w:bidi="ar-SA"/>
        </w:rPr>
        <w:t>件，</w:t>
      </w:r>
      <w:r>
        <w:rPr>
          <w:rFonts w:hint="eastAsia" w:ascii="Times New Roman" w:hAnsi="Times New Roman" w:eastAsia="仿宋_GB2312" w:cs="Times New Roman"/>
          <w:color w:val="auto"/>
          <w:kern w:val="0"/>
          <w:sz w:val="32"/>
          <w:szCs w:val="32"/>
          <w:lang w:val="en-US" w:eastAsia="zh-CN" w:bidi="ar-SA"/>
        </w:rPr>
        <w:t>同比增长200%；办理</w:t>
      </w:r>
      <w:r>
        <w:rPr>
          <w:rFonts w:hint="default" w:ascii="Times New Roman" w:hAnsi="Times New Roman" w:eastAsia="仿宋_GB2312" w:cs="Times New Roman"/>
          <w:color w:val="auto"/>
          <w:kern w:val="0"/>
          <w:sz w:val="32"/>
          <w:szCs w:val="32"/>
          <w:lang w:val="en-US" w:eastAsia="zh-CN" w:bidi="ar-SA"/>
        </w:rPr>
        <w:t>民事执行活动监督</w:t>
      </w:r>
      <w:r>
        <w:rPr>
          <w:rFonts w:hint="eastAsia" w:ascii="Times New Roman" w:hAnsi="Times New Roman" w:eastAsia="仿宋_GB2312" w:cs="Times New Roman"/>
          <w:color w:val="auto"/>
          <w:kern w:val="0"/>
          <w:sz w:val="32"/>
          <w:szCs w:val="32"/>
          <w:lang w:val="en-US" w:eastAsia="zh-CN" w:bidi="ar-SA"/>
        </w:rPr>
        <w:t>案3</w:t>
      </w:r>
      <w:r>
        <w:rPr>
          <w:rFonts w:hint="default" w:ascii="Times New Roman" w:hAnsi="Times New Roman" w:eastAsia="仿宋_GB2312" w:cs="Times New Roman"/>
          <w:color w:val="auto"/>
          <w:kern w:val="0"/>
          <w:sz w:val="32"/>
          <w:szCs w:val="32"/>
          <w:lang w:val="en-US" w:eastAsia="zh-CN" w:bidi="ar-SA"/>
        </w:rPr>
        <w:t>件</w:t>
      </w:r>
      <w:r>
        <w:rPr>
          <w:rFonts w:hint="eastAsia" w:ascii="Times New Roman" w:hAnsi="Times New Roman" w:eastAsia="仿宋_GB2312" w:cs="Times New Roman"/>
          <w:color w:val="auto"/>
          <w:kern w:val="0"/>
          <w:sz w:val="32"/>
          <w:szCs w:val="32"/>
          <w:lang w:val="en-US" w:eastAsia="zh-CN" w:bidi="ar-SA"/>
        </w:rPr>
        <w:t>，同比增长50%。</w:t>
      </w:r>
      <w:r>
        <w:rPr>
          <w:rFonts w:hint="default" w:ascii="Times New Roman" w:hAnsi="Times New Roman" w:eastAsia="仿宋_GB2312" w:cs="Times New Roman"/>
          <w:color w:val="auto"/>
          <w:kern w:val="0"/>
          <w:sz w:val="32"/>
          <w:szCs w:val="32"/>
          <w:lang w:val="en-US" w:eastAsia="zh-CN" w:bidi="ar-SA"/>
        </w:rPr>
        <w:t>加大</w:t>
      </w:r>
      <w:r>
        <w:rPr>
          <w:rFonts w:hint="eastAsia" w:ascii="Times New Roman" w:hAnsi="Times New Roman" w:eastAsia="仿宋_GB2312" w:cs="Times New Roman"/>
          <w:color w:val="auto"/>
          <w:kern w:val="0"/>
          <w:sz w:val="32"/>
          <w:szCs w:val="32"/>
          <w:lang w:val="en-US" w:eastAsia="zh-CN" w:bidi="ar-SA"/>
        </w:rPr>
        <w:t>对</w:t>
      </w:r>
      <w:r>
        <w:rPr>
          <w:rFonts w:hint="default" w:ascii="Times New Roman" w:hAnsi="Times New Roman" w:eastAsia="仿宋_GB2312" w:cs="Times New Roman"/>
          <w:color w:val="auto"/>
          <w:kern w:val="0"/>
          <w:sz w:val="32"/>
          <w:szCs w:val="32"/>
          <w:lang w:val="en-US" w:eastAsia="zh-CN" w:bidi="ar-SA"/>
        </w:rPr>
        <w:t>农民工、妇女儿童等弱势特殊群体</w:t>
      </w:r>
      <w:r>
        <w:rPr>
          <w:rFonts w:hint="eastAsia" w:ascii="Times New Roman" w:hAnsi="Times New Roman" w:eastAsia="仿宋_GB2312" w:cs="Times New Roman"/>
          <w:color w:val="auto"/>
          <w:kern w:val="0"/>
          <w:sz w:val="32"/>
          <w:szCs w:val="32"/>
          <w:lang w:val="en-US" w:eastAsia="zh-CN" w:bidi="ar-SA"/>
        </w:rPr>
        <w:t>合法权益的保护</w:t>
      </w:r>
      <w:r>
        <w:rPr>
          <w:rFonts w:hint="default" w:ascii="Times New Roman" w:hAnsi="Times New Roman" w:eastAsia="仿宋_GB2312" w:cs="Times New Roman"/>
          <w:color w:val="auto"/>
          <w:kern w:val="0"/>
          <w:sz w:val="32"/>
          <w:szCs w:val="32"/>
          <w:lang w:val="en-US" w:eastAsia="zh-CN" w:bidi="ar-SA"/>
        </w:rPr>
        <w:t>，办理民事支持起诉</w:t>
      </w:r>
      <w:r>
        <w:rPr>
          <w:rFonts w:hint="eastAsia" w:ascii="Times New Roman" w:hAnsi="Times New Roman" w:eastAsia="仿宋_GB2312" w:cs="Times New Roman"/>
          <w:color w:val="auto"/>
          <w:kern w:val="0"/>
          <w:sz w:val="32"/>
          <w:szCs w:val="32"/>
          <w:lang w:val="en-US" w:eastAsia="zh-CN" w:bidi="ar-SA"/>
        </w:rPr>
        <w:t>9</w:t>
      </w:r>
      <w:r>
        <w:rPr>
          <w:rFonts w:hint="default" w:ascii="Times New Roman" w:hAnsi="Times New Roman" w:eastAsia="仿宋_GB2312" w:cs="Times New Roman"/>
          <w:color w:val="auto"/>
          <w:kern w:val="0"/>
          <w:sz w:val="32"/>
          <w:szCs w:val="32"/>
          <w:lang w:val="en-US" w:eastAsia="zh-CN" w:bidi="ar-SA"/>
        </w:rPr>
        <w:t>件，</w:t>
      </w:r>
      <w:r>
        <w:rPr>
          <w:rFonts w:hint="eastAsia" w:ascii="Times New Roman" w:hAnsi="Times New Roman" w:eastAsia="仿宋_GB2312" w:cs="Times New Roman"/>
          <w:color w:val="auto"/>
          <w:kern w:val="0"/>
          <w:sz w:val="32"/>
          <w:szCs w:val="32"/>
          <w:lang w:val="en-US" w:eastAsia="zh-CN" w:bidi="ar-SA"/>
        </w:rPr>
        <w:t>同比增长800%，其中，办结涉及农民工案件8</w:t>
      </w:r>
      <w:r>
        <w:rPr>
          <w:rFonts w:hint="default" w:ascii="Times New Roman" w:hAnsi="Times New Roman" w:eastAsia="仿宋_GB2312" w:cs="Times New Roman"/>
          <w:color w:val="auto"/>
          <w:kern w:val="0"/>
          <w:sz w:val="32"/>
          <w:szCs w:val="32"/>
          <w:lang w:val="en-US" w:eastAsia="zh-CN" w:bidi="ar-SA"/>
        </w:rPr>
        <w:t>件</w:t>
      </w:r>
      <w:r>
        <w:rPr>
          <w:rFonts w:hint="eastAsia" w:ascii="Times New Roman" w:hAnsi="Times New Roman" w:eastAsia="仿宋_GB2312" w:cs="Times New Roman"/>
          <w:color w:val="auto"/>
          <w:kern w:val="0"/>
          <w:sz w:val="32"/>
          <w:szCs w:val="32"/>
          <w:lang w:val="en-US" w:eastAsia="zh-CN" w:bidi="ar-SA"/>
        </w:rPr>
        <w:t>（含诉前和解）</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帮助农民工讨回工资9.8992万元；办理子女抚养纠纷支持起诉案1件。</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行政检察取得突破。</w:t>
      </w:r>
      <w:r>
        <w:rPr>
          <w:rFonts w:hint="default" w:ascii="Times New Roman" w:hAnsi="Times New Roman" w:eastAsia="仿宋_GB2312" w:cs="Times New Roman"/>
          <w:color w:val="auto"/>
          <w:kern w:val="0"/>
          <w:sz w:val="32"/>
          <w:szCs w:val="32"/>
          <w:lang w:val="en-US" w:eastAsia="zh-CN" w:bidi="ar-SA"/>
        </w:rPr>
        <w:t>办理行政诉讼监督案件</w:t>
      </w:r>
      <w:r>
        <w:rPr>
          <w:rFonts w:hint="eastAsia"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en-US" w:eastAsia="zh-CN" w:bidi="ar-SA"/>
        </w:rPr>
        <w:t>件，发出检察建议书</w:t>
      </w:r>
      <w:r>
        <w:rPr>
          <w:rFonts w:hint="eastAsia"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en-US" w:eastAsia="zh-CN" w:bidi="ar-SA"/>
        </w:rPr>
        <w:t>份，实现行政</w:t>
      </w:r>
      <w:r>
        <w:rPr>
          <w:rFonts w:hint="eastAsia" w:ascii="Times New Roman" w:hAnsi="Times New Roman" w:eastAsia="仿宋_GB2312" w:cs="Times New Roman"/>
          <w:color w:val="auto"/>
          <w:kern w:val="0"/>
          <w:sz w:val="32"/>
          <w:szCs w:val="32"/>
          <w:lang w:val="en-US" w:eastAsia="zh-CN" w:bidi="ar-SA"/>
        </w:rPr>
        <w:t>检察</w:t>
      </w:r>
      <w:r>
        <w:rPr>
          <w:rFonts w:hint="default" w:ascii="Times New Roman" w:hAnsi="Times New Roman" w:eastAsia="仿宋_GB2312" w:cs="Times New Roman"/>
          <w:color w:val="auto"/>
          <w:kern w:val="0"/>
          <w:sz w:val="32"/>
          <w:szCs w:val="32"/>
          <w:lang w:val="en-US" w:eastAsia="zh-CN" w:bidi="ar-SA"/>
        </w:rPr>
        <w:t>监督“零突破”。积极开展行政非诉执行监督工作</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依法向相关</w:t>
      </w:r>
      <w:r>
        <w:rPr>
          <w:rFonts w:hint="eastAsia" w:ascii="Times New Roman" w:hAnsi="Times New Roman" w:eastAsia="仿宋_GB2312" w:cs="Times New Roman"/>
          <w:color w:val="auto"/>
          <w:kern w:val="0"/>
          <w:sz w:val="32"/>
          <w:szCs w:val="32"/>
          <w:lang w:val="en-US" w:eastAsia="zh-CN" w:bidi="ar-SA"/>
        </w:rPr>
        <w:t>行政机关</w:t>
      </w:r>
      <w:r>
        <w:rPr>
          <w:rFonts w:hint="default" w:ascii="Times New Roman" w:hAnsi="Times New Roman" w:eastAsia="仿宋_GB2312" w:cs="Times New Roman"/>
          <w:color w:val="auto"/>
          <w:kern w:val="0"/>
          <w:sz w:val="32"/>
          <w:szCs w:val="32"/>
          <w:lang w:val="en-US" w:eastAsia="zh-CN" w:bidi="ar-SA"/>
        </w:rPr>
        <w:t>发出检察建议1</w:t>
      </w:r>
      <w:r>
        <w:rPr>
          <w:rFonts w:hint="eastAsia" w:ascii="Times New Roman" w:hAnsi="Times New Roman" w:eastAsia="仿宋_GB2312" w:cs="Times New Roman"/>
          <w:color w:val="auto"/>
          <w:kern w:val="0"/>
          <w:sz w:val="32"/>
          <w:szCs w:val="32"/>
          <w:lang w:val="en-US" w:eastAsia="zh-CN" w:bidi="ar-SA"/>
        </w:rPr>
        <w:t>件</w:t>
      </w:r>
      <w:r>
        <w:rPr>
          <w:rFonts w:hint="default" w:ascii="Times New Roman" w:hAnsi="Times New Roman" w:eastAsia="仿宋_GB2312" w:cs="Times New Roman"/>
          <w:color w:val="auto"/>
          <w:kern w:val="0"/>
          <w:sz w:val="32"/>
          <w:szCs w:val="32"/>
          <w:lang w:val="en-US" w:eastAsia="zh-CN" w:bidi="ar-SA"/>
        </w:rPr>
        <w:t>。认真落实领导包案制度</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通过促成和解办</w:t>
      </w:r>
      <w:r>
        <w:rPr>
          <w:rFonts w:hint="eastAsia" w:ascii="Times New Roman" w:hAnsi="Times New Roman" w:eastAsia="仿宋_GB2312" w:cs="Times New Roman"/>
          <w:color w:val="auto"/>
          <w:kern w:val="0"/>
          <w:sz w:val="32"/>
          <w:szCs w:val="32"/>
          <w:lang w:val="en-US" w:eastAsia="zh-CN" w:bidi="ar-SA"/>
        </w:rPr>
        <w:t>结首例</w:t>
      </w:r>
      <w:r>
        <w:rPr>
          <w:rFonts w:hint="default" w:ascii="Times New Roman" w:hAnsi="Times New Roman" w:eastAsia="仿宋_GB2312" w:cs="Times New Roman"/>
          <w:color w:val="auto"/>
          <w:kern w:val="0"/>
          <w:sz w:val="32"/>
          <w:szCs w:val="32"/>
          <w:lang w:val="en-US" w:eastAsia="zh-CN" w:bidi="ar-SA"/>
        </w:rPr>
        <w:t>行政争议实质性化解案件</w:t>
      </w:r>
      <w:r>
        <w:rPr>
          <w:rFonts w:hint="eastAsia"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en-US" w:eastAsia="zh-CN" w:bidi="ar-SA"/>
        </w:rPr>
        <w:t>件</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实现案结事了政和。</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公益诉讼扎实推进</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val="en-US" w:eastAsia="zh-CN" w:bidi="ar-SA"/>
        </w:rPr>
        <w:t>共立案</w:t>
      </w:r>
      <w:r>
        <w:rPr>
          <w:rFonts w:hint="eastAsia" w:ascii="Times New Roman" w:hAnsi="Times New Roman" w:eastAsia="仿宋_GB2312" w:cs="Times New Roman"/>
          <w:color w:val="auto"/>
          <w:kern w:val="0"/>
          <w:sz w:val="32"/>
          <w:szCs w:val="32"/>
          <w:lang w:val="en-US" w:eastAsia="zh-CN" w:bidi="ar-SA"/>
        </w:rPr>
        <w:t>22</w:t>
      </w:r>
      <w:r>
        <w:rPr>
          <w:rFonts w:hint="default" w:ascii="Times New Roman" w:hAnsi="Times New Roman" w:eastAsia="仿宋_GB2312" w:cs="Times New Roman"/>
          <w:color w:val="auto"/>
          <w:kern w:val="0"/>
          <w:sz w:val="32"/>
          <w:szCs w:val="32"/>
          <w:lang w:val="en-US" w:eastAsia="zh-CN" w:bidi="ar-SA"/>
        </w:rPr>
        <w:t>件，其中行政公益诉讼立案</w:t>
      </w:r>
      <w:r>
        <w:rPr>
          <w:rFonts w:hint="eastAsia" w:ascii="Times New Roman" w:hAnsi="Times New Roman" w:eastAsia="仿宋_GB2312" w:cs="Times New Roman"/>
          <w:color w:val="auto"/>
          <w:kern w:val="0"/>
          <w:sz w:val="32"/>
          <w:szCs w:val="32"/>
          <w:lang w:val="en-US" w:eastAsia="zh-CN" w:bidi="ar-SA"/>
        </w:rPr>
        <w:t>15</w:t>
      </w:r>
      <w:r>
        <w:rPr>
          <w:rFonts w:hint="default" w:ascii="Times New Roman" w:hAnsi="Times New Roman" w:eastAsia="仿宋_GB2312" w:cs="Times New Roman"/>
          <w:color w:val="auto"/>
          <w:kern w:val="0"/>
          <w:sz w:val="32"/>
          <w:szCs w:val="32"/>
          <w:lang w:val="en-US" w:eastAsia="zh-CN" w:bidi="ar-SA"/>
        </w:rPr>
        <w:t>件，发出诉前检察建议</w:t>
      </w:r>
      <w:r>
        <w:rPr>
          <w:rFonts w:hint="eastAsia" w:ascii="Times New Roman" w:hAnsi="Times New Roman" w:eastAsia="仿宋_GB2312" w:cs="Times New Roman"/>
          <w:color w:val="auto"/>
          <w:kern w:val="0"/>
          <w:sz w:val="32"/>
          <w:szCs w:val="32"/>
          <w:lang w:val="en-US" w:eastAsia="zh-CN" w:bidi="ar-SA"/>
        </w:rPr>
        <w:t>12</w:t>
      </w:r>
      <w:r>
        <w:rPr>
          <w:rFonts w:hint="default" w:ascii="Times New Roman" w:hAnsi="Times New Roman" w:eastAsia="仿宋_GB2312" w:cs="Times New Roman"/>
          <w:color w:val="auto"/>
          <w:kern w:val="0"/>
          <w:sz w:val="32"/>
          <w:szCs w:val="32"/>
          <w:lang w:val="en-US" w:eastAsia="zh-CN" w:bidi="ar-SA"/>
        </w:rPr>
        <w:t>份</w:t>
      </w:r>
      <w:r>
        <w:rPr>
          <w:rFonts w:hint="eastAsia" w:ascii="Times New Roman" w:hAnsi="Times New Roman" w:eastAsia="仿宋_GB2312" w:cs="Times New Roman"/>
          <w:color w:val="auto"/>
          <w:kern w:val="0"/>
          <w:sz w:val="32"/>
          <w:szCs w:val="32"/>
          <w:lang w:val="en-US" w:eastAsia="zh-CN" w:bidi="ar-SA"/>
        </w:rPr>
        <w:t>，磋商结案3件</w:t>
      </w:r>
      <w:r>
        <w:rPr>
          <w:rFonts w:hint="default" w:ascii="Times New Roman" w:hAnsi="Times New Roman" w:eastAsia="仿宋_GB2312" w:cs="Times New Roman"/>
          <w:color w:val="auto"/>
          <w:kern w:val="0"/>
          <w:sz w:val="32"/>
          <w:szCs w:val="32"/>
          <w:lang w:val="en-US" w:eastAsia="zh-CN" w:bidi="ar-SA"/>
        </w:rPr>
        <w:t>；刑事附带民事公益诉讼立案</w:t>
      </w:r>
      <w:r>
        <w:rPr>
          <w:rFonts w:hint="eastAsia" w:ascii="Times New Roman" w:hAnsi="Times New Roman" w:eastAsia="仿宋_GB2312" w:cs="Times New Roman"/>
          <w:color w:val="auto"/>
          <w:kern w:val="0"/>
          <w:sz w:val="32"/>
          <w:szCs w:val="32"/>
          <w:lang w:val="en-US" w:eastAsia="zh-CN" w:bidi="ar-SA"/>
        </w:rPr>
        <w:t>7</w:t>
      </w:r>
      <w:r>
        <w:rPr>
          <w:rFonts w:hint="default" w:ascii="Times New Roman" w:hAnsi="Times New Roman" w:eastAsia="仿宋_GB2312" w:cs="Times New Roman"/>
          <w:color w:val="auto"/>
          <w:kern w:val="0"/>
          <w:sz w:val="32"/>
          <w:szCs w:val="32"/>
          <w:lang w:val="en-US" w:eastAsia="zh-CN" w:bidi="ar-SA"/>
        </w:rPr>
        <w:t>件，提起诉讼</w:t>
      </w:r>
      <w:r>
        <w:rPr>
          <w:rFonts w:hint="eastAsia" w:ascii="Times New Roman" w:hAnsi="Times New Roman" w:eastAsia="仿宋_GB2312" w:cs="Times New Roman"/>
          <w:color w:val="auto"/>
          <w:kern w:val="0"/>
          <w:sz w:val="32"/>
          <w:szCs w:val="32"/>
          <w:lang w:val="en-US" w:eastAsia="zh-CN" w:bidi="ar-SA"/>
        </w:rPr>
        <w:t>7</w:t>
      </w:r>
      <w:r>
        <w:rPr>
          <w:rFonts w:hint="default" w:ascii="Times New Roman" w:hAnsi="Times New Roman" w:eastAsia="仿宋_GB2312" w:cs="Times New Roman"/>
          <w:color w:val="auto"/>
          <w:kern w:val="0"/>
          <w:sz w:val="32"/>
          <w:szCs w:val="32"/>
          <w:lang w:val="en-US" w:eastAsia="zh-CN" w:bidi="ar-SA"/>
        </w:rPr>
        <w:t>件</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全部诉求得到县人民法院支持。守护美丽草原公益诉讼案被检察日报转发</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督促保护日斯满巴碉房行政公益诉讼案</w:t>
      </w:r>
      <w:r>
        <w:rPr>
          <w:rFonts w:hint="eastAsia" w:ascii="Times New Roman" w:hAnsi="Times New Roman" w:eastAsia="仿宋_GB2312" w:cs="Times New Roman"/>
          <w:color w:val="auto"/>
          <w:kern w:val="0"/>
          <w:sz w:val="32"/>
          <w:szCs w:val="32"/>
          <w:lang w:val="en-US" w:eastAsia="zh-CN" w:bidi="ar-SA"/>
        </w:rPr>
        <w:t>被</w:t>
      </w:r>
      <w:r>
        <w:rPr>
          <w:rFonts w:hint="default" w:ascii="Times New Roman" w:hAnsi="Times New Roman" w:eastAsia="仿宋_GB2312" w:cs="Times New Roman"/>
          <w:color w:val="auto"/>
          <w:kern w:val="0"/>
          <w:sz w:val="32"/>
          <w:szCs w:val="32"/>
          <w:lang w:val="en-US" w:eastAsia="zh-CN" w:bidi="ar-SA"/>
        </w:rPr>
        <w:t>省人民检察院</w:t>
      </w:r>
      <w:r>
        <w:rPr>
          <w:rFonts w:hint="eastAsia" w:eastAsia="仿宋_GB2312" w:cs="Times New Roman"/>
          <w:color w:val="auto"/>
          <w:kern w:val="0"/>
          <w:sz w:val="32"/>
          <w:szCs w:val="32"/>
          <w:lang w:val="en-US" w:eastAsia="zh-CN" w:bidi="ar-SA"/>
        </w:rPr>
        <w:t>选为典型案例。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未成年人</w:t>
      </w:r>
      <w:r>
        <w:rPr>
          <w:rFonts w:hint="eastAsia" w:ascii="仿宋_GB2312" w:hAnsi="仿宋_GB2312" w:cs="仿宋_GB2312"/>
          <w:b/>
          <w:bCs/>
          <w:color w:val="auto"/>
          <w:sz w:val="32"/>
          <w:szCs w:val="32"/>
          <w:lang w:val="en-US" w:eastAsia="zh-CN"/>
        </w:rPr>
        <w:t>检察</w:t>
      </w:r>
      <w:r>
        <w:rPr>
          <w:rFonts w:hint="eastAsia" w:ascii="仿宋_GB2312" w:hAnsi="仿宋_GB2312" w:eastAsia="仿宋_GB2312" w:cs="仿宋_GB2312"/>
          <w:b/>
          <w:bCs/>
          <w:color w:val="auto"/>
          <w:sz w:val="32"/>
          <w:szCs w:val="32"/>
          <w:lang w:val="en-US" w:eastAsia="zh-CN"/>
        </w:rPr>
        <w:t>成效明显。</w:t>
      </w:r>
      <w:r>
        <w:rPr>
          <w:rFonts w:hint="eastAsia" w:ascii="Times New Roman" w:hAnsi="Times New Roman" w:eastAsia="仿宋_GB2312" w:cs="Times New Roman"/>
          <w:color w:val="auto"/>
          <w:kern w:val="0"/>
          <w:sz w:val="32"/>
          <w:szCs w:val="32"/>
          <w:lang w:val="zh-CN" w:eastAsia="zh-CN" w:bidi="ar-SA"/>
        </w:rPr>
        <w:t>持</w:t>
      </w:r>
      <w:r>
        <w:rPr>
          <w:rFonts w:hint="eastAsia" w:ascii="Times New Roman" w:hAnsi="Times New Roman" w:eastAsia="仿宋_GB2312" w:cs="Times New Roman"/>
          <w:color w:val="auto"/>
          <w:kern w:val="0"/>
          <w:sz w:val="32"/>
          <w:szCs w:val="32"/>
          <w:lang w:val="en-US" w:eastAsia="zh-CN" w:bidi="ar-SA"/>
        </w:rPr>
        <w:t>续督促落实“一号检察建议”，联合相关部门会签《侵害未成年人案件强制报告制度的意见</w:t>
      </w:r>
      <w:r>
        <w:rPr>
          <w:rFonts w:hint="eastAsia" w:ascii="Times New Roman" w:hAnsi="Times New Roman" w:eastAsia="仿宋_GB2312" w:cs="Times New Roman"/>
          <w:color w:val="auto"/>
          <w:sz w:val="32"/>
          <w:szCs w:val="32"/>
          <w:lang w:val="en-US" w:eastAsia="zh-CN"/>
        </w:rPr>
        <w:t>（试行）》《关于建立教职工准入查询性侵违法犯罪信息制度的意见》</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监开展相关查询工作</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加强“检校共建”，充分发挥法治副校长作用，开展法治进校园7次，参与人数1200余人次，发放资料800余份。积极打造线上普法宣传栏目《听雨说》，取得了良好的法治效果。开展“远离烟草，健康成长”公益行活动，办理未成年人公益诉讼案件2件。办理抚养费支持起诉案件1件。</w:t>
      </w:r>
    </w:p>
    <w:p>
      <w:pPr>
        <w:pStyle w:val="2"/>
        <w:rPr>
          <w:rFonts w:hint="default"/>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Style w:val="25"/>
          <w:b w:val="0"/>
          <w:bCs w:val="0"/>
        </w:rPr>
      </w:pPr>
      <w:bookmarkStart w:id="31" w:name="_Toc8865"/>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8"/>
      <w:bookmarkEnd w:id="29"/>
      <w:bookmarkEnd w:id="30"/>
      <w:bookmarkEnd w:id="31"/>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40" w:firstLineChars="200"/>
        <w:textAlignment w:val="auto"/>
        <w:rPr>
          <w:rFonts w:hint="eastAsia" w:ascii="仿宋_GB2312" w:hAnsi="仿宋_GB2312" w:eastAsia="仿宋_GB2312" w:cs="仿宋_GB2312"/>
          <w:snapToGrid w:val="0"/>
          <w:color w:val="000000"/>
          <w:spacing w:val="0"/>
          <w:w w:val="100"/>
          <w:kern w:val="0"/>
          <w:sz w:val="32"/>
          <w:szCs w:val="32"/>
          <w:lang w:val="en-US" w:eastAsia="zh-CN" w:bidi="ar-SA"/>
        </w:rPr>
      </w:pPr>
      <w:bookmarkStart w:id="32" w:name="_Toc15377432"/>
      <w:bookmarkStart w:id="33" w:name="_Toc15377201"/>
      <w:bookmarkStart w:id="34" w:name="_Toc15306275"/>
      <w:bookmarkStart w:id="35" w:name="_Toc15378448"/>
      <w:bookmarkStart w:id="36" w:name="_Toc79163606"/>
      <w:r>
        <w:rPr>
          <w:rFonts w:hint="eastAsia" w:ascii="仿宋_GB2312" w:hAnsi="仿宋_GB2312" w:eastAsia="仿宋_GB2312" w:cs="仿宋_GB2312"/>
          <w:snapToGrid w:val="0"/>
          <w:color w:val="000000"/>
          <w:spacing w:val="0"/>
          <w:w w:val="100"/>
          <w:kern w:val="0"/>
          <w:sz w:val="32"/>
          <w:szCs w:val="32"/>
          <w:lang w:val="en-US" w:eastAsia="zh-CN" w:bidi="ar-SA"/>
        </w:rPr>
        <w:t>壤塘县人民检察院无下属二级单位，基本性质为行政单位。</w:t>
      </w:r>
    </w:p>
    <w:bookmarkEnd w:id="32"/>
    <w:bookmarkEnd w:id="33"/>
    <w:bookmarkEnd w:id="34"/>
    <w:bookmarkEnd w:id="35"/>
    <w:bookmarkEnd w:id="36"/>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4"/>
          <w:rFonts w:ascii="黑体" w:hAnsi="黑体" w:eastAsia="黑体"/>
          <w:b w:val="0"/>
          <w:bCs w:val="0"/>
        </w:rPr>
      </w:pPr>
      <w:bookmarkStart w:id="37" w:name="_Toc79163609"/>
      <w:bookmarkStart w:id="38" w:name="_Toc7271"/>
      <w:bookmarkStart w:id="39" w:name="_Toc15377204"/>
      <w:bookmarkStart w:id="40" w:name="_Toc15396602"/>
      <w:r>
        <w:rPr>
          <w:rFonts w:hint="eastAsia" w:ascii="黑体" w:hAnsi="黑体" w:eastAsia="黑体"/>
          <w:b w:val="0"/>
          <w:color w:val="000000"/>
        </w:rPr>
        <w:t>第二部分</w:t>
      </w:r>
      <w:r>
        <w:rPr>
          <w:rFonts w:ascii="黑体" w:hAnsi="黑体" w:eastAsia="黑体"/>
          <w:color w:val="000000"/>
        </w:rPr>
        <w:t xml:space="preserve"> </w:t>
      </w:r>
      <w:r>
        <w:rPr>
          <w:rStyle w:val="24"/>
          <w:rFonts w:ascii="黑体" w:hAnsi="黑体" w:eastAsia="黑体"/>
          <w:b w:val="0"/>
          <w:bCs w:val="0"/>
        </w:rPr>
        <w:t>202</w:t>
      </w:r>
      <w:r>
        <w:rPr>
          <w:rStyle w:val="24"/>
          <w:rFonts w:hint="eastAsia" w:ascii="黑体" w:hAnsi="黑体" w:eastAsia="黑体"/>
          <w:b w:val="0"/>
          <w:bCs w:val="0"/>
        </w:rPr>
        <w:t>1年度部门决算情况说明</w:t>
      </w:r>
      <w:bookmarkEnd w:id="37"/>
      <w:bookmarkEnd w:id="38"/>
      <w:bookmarkEnd w:id="39"/>
      <w:bookmarkEnd w:id="40"/>
    </w:p>
    <w:p/>
    <w:p>
      <w:pPr>
        <w:pStyle w:val="35"/>
        <w:numPr>
          <w:ilvl w:val="0"/>
          <w:numId w:val="1"/>
        </w:numPr>
        <w:spacing w:line="600" w:lineRule="exact"/>
        <w:ind w:firstLineChars="0"/>
        <w:outlineLvl w:val="1"/>
        <w:rPr>
          <w:rStyle w:val="25"/>
          <w:rFonts w:ascii="黑体" w:hAnsi="黑体" w:eastAsia="黑体"/>
          <w:b w:val="0"/>
        </w:rPr>
      </w:pPr>
      <w:bookmarkStart w:id="41" w:name="_Toc79163610"/>
      <w:bookmarkStart w:id="42" w:name="_Toc15377205"/>
      <w:bookmarkStart w:id="43" w:name="_Toc15396603"/>
      <w:bookmarkStart w:id="44" w:name="_Toc30449"/>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41"/>
      <w:bookmarkEnd w:id="42"/>
      <w:bookmarkEnd w:id="43"/>
      <w:bookmarkEnd w:id="44"/>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2021年度收、支总计854.83万元。与2020年相比，收入总计减少76.55万元，下降8.22%，单位支出总计减少12.54万元，下降1.45%；主要变动原因是单位人员变动，导致单位支出减少。</w:t>
      </w:r>
    </w:p>
    <w:p>
      <w:pPr>
        <w:pStyle w:val="23"/>
        <w:rPr>
          <w:rFonts w:hint="default" w:ascii="仿宋" w:hAnsi="仿宋" w:eastAsia="仿宋"/>
          <w:color w:val="000000"/>
          <w:sz w:val="32"/>
          <w:szCs w:val="32"/>
          <w:lang w:val="en-US" w:eastAsia="zh-CN"/>
        </w:rPr>
      </w:pPr>
      <w:r>
        <w:rPr>
          <w:rFonts w:hint="default" w:ascii="仿宋" w:hAnsi="仿宋" w:eastAsia="仿宋"/>
          <w:color w:val="000000"/>
          <w:sz w:val="32"/>
          <w:szCs w:val="32"/>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1600" w:firstLineChars="5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ind w:firstLine="640" w:firstLineChars="200"/>
        <w:jc w:val="left"/>
        <w:rPr>
          <w:rFonts w:ascii="仿宋_GB2312" w:eastAsia="仿宋_GB2312"/>
          <w:color w:val="000000"/>
          <w:sz w:val="32"/>
          <w:szCs w:val="32"/>
        </w:rPr>
      </w:pPr>
    </w:p>
    <w:p>
      <w:pPr>
        <w:pStyle w:val="35"/>
        <w:numPr>
          <w:ilvl w:val="0"/>
          <w:numId w:val="1"/>
        </w:numPr>
        <w:spacing w:line="600" w:lineRule="exact"/>
        <w:ind w:firstLineChars="0"/>
        <w:outlineLvl w:val="1"/>
        <w:rPr>
          <w:rStyle w:val="25"/>
          <w:rFonts w:ascii="黑体" w:hAnsi="黑体" w:eastAsia="黑体"/>
          <w:b w:val="0"/>
        </w:rPr>
      </w:pPr>
      <w:bookmarkStart w:id="45" w:name="_Toc15396604"/>
      <w:bookmarkStart w:id="46" w:name="_Toc79163611"/>
      <w:bookmarkStart w:id="47" w:name="_Toc15377206"/>
      <w:bookmarkStart w:id="48" w:name="_Toc4596"/>
      <w:r>
        <w:rPr>
          <w:rFonts w:hint="eastAsia" w:ascii="黑体" w:hAnsi="黑体" w:eastAsia="黑体"/>
          <w:color w:val="000000"/>
          <w:sz w:val="32"/>
          <w:szCs w:val="32"/>
        </w:rPr>
        <w:t>收</w:t>
      </w:r>
      <w:r>
        <w:rPr>
          <w:rStyle w:val="25"/>
          <w:rFonts w:hint="eastAsia" w:ascii="黑体" w:hAnsi="黑体" w:eastAsia="黑体"/>
          <w:b w:val="0"/>
        </w:rPr>
        <w:t>入决算情况说明</w:t>
      </w:r>
      <w:bookmarkEnd w:id="45"/>
      <w:bookmarkEnd w:id="46"/>
      <w:bookmarkEnd w:id="47"/>
      <w:bookmarkEnd w:id="48"/>
    </w:p>
    <w:p>
      <w:pPr>
        <w:spacing w:line="60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本年收入合计729.84万元，其中：一般公共预算财政拨款收入100万元，占100%；政府性基金预算财政拨款收入0万元；上级补助收入0万元；事业收入0万元；经营收入0万元；附属单位上缴收入0万元；其他收入0万元。</w:t>
      </w:r>
    </w:p>
    <w:p>
      <w:pPr>
        <w:pStyle w:val="23"/>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drawing>
          <wp:inline distT="0" distB="0" distL="114300" distR="114300">
            <wp:extent cx="4017010" cy="2889885"/>
            <wp:effectExtent l="4445" t="4445" r="17145" b="203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1920" w:firstLineChars="600"/>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pStyle w:val="35"/>
        <w:numPr>
          <w:ilvl w:val="0"/>
          <w:numId w:val="1"/>
        </w:numPr>
        <w:spacing w:line="600" w:lineRule="exact"/>
        <w:ind w:firstLineChars="0"/>
        <w:outlineLvl w:val="1"/>
        <w:rPr>
          <w:rStyle w:val="25"/>
          <w:rFonts w:ascii="黑体" w:hAnsi="黑体" w:eastAsia="黑体"/>
          <w:b w:val="0"/>
        </w:rPr>
      </w:pPr>
      <w:bookmarkStart w:id="49" w:name="_Toc79163612"/>
      <w:bookmarkStart w:id="50" w:name="_Toc15377207"/>
      <w:bookmarkStart w:id="51" w:name="_Toc15396605"/>
      <w:bookmarkStart w:id="52" w:name="_Toc31356"/>
      <w:r>
        <w:rPr>
          <w:rFonts w:hint="eastAsia" w:ascii="黑体" w:hAnsi="黑体" w:eastAsia="黑体"/>
          <w:color w:val="000000"/>
          <w:sz w:val="32"/>
          <w:szCs w:val="32"/>
        </w:rPr>
        <w:t>支</w:t>
      </w:r>
      <w:r>
        <w:rPr>
          <w:rStyle w:val="25"/>
          <w:rFonts w:hint="eastAsia" w:ascii="黑体" w:hAnsi="黑体" w:eastAsia="黑体"/>
          <w:b w:val="0"/>
        </w:rPr>
        <w:t>出决算情况说明</w:t>
      </w:r>
      <w:bookmarkEnd w:id="49"/>
      <w:bookmarkEnd w:id="50"/>
      <w:bookmarkEnd w:id="51"/>
      <w:bookmarkEnd w:id="52"/>
    </w:p>
    <w:p>
      <w:pPr>
        <w:spacing w:line="60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2021年本年支出合计854.83万元，其中：基本支出624.63万元，占73.07%；项目支出230.2万元，占26.93%。</w:t>
      </w:r>
    </w:p>
    <w:p>
      <w:pPr>
        <w:spacing w:line="600" w:lineRule="exact"/>
        <w:ind w:firstLine="640"/>
        <w:rPr>
          <w:rFonts w:hint="eastAsia" w:ascii="仿宋" w:hAnsi="仿宋" w:eastAsia="仿宋"/>
          <w:color w:val="000000"/>
          <w:sz w:val="32"/>
          <w:szCs w:val="32"/>
          <w:shd w:val="pct10" w:color="auto" w:fill="FFFFFF"/>
          <w:lang w:eastAsia="zh-CN"/>
        </w:rPr>
      </w:pPr>
      <w:r>
        <w:rPr>
          <w:rFonts w:hint="eastAsia" w:ascii="仿宋" w:hAnsi="仿宋" w:eastAsia="仿宋"/>
          <w:color w:val="000000"/>
          <w:sz w:val="32"/>
          <w:szCs w:val="32"/>
          <w:shd w:val="pct10" w:color="auto" w:fill="FFFFFF"/>
          <w:lang w:eastAsia="zh-CN"/>
        </w:rPr>
        <w:drawing>
          <wp:anchor distT="0" distB="0" distL="114300" distR="114300" simplePos="0" relativeHeight="251659264" behindDoc="0" locked="0" layoutInCell="1" allowOverlap="1">
            <wp:simplePos x="0" y="0"/>
            <wp:positionH relativeFrom="column">
              <wp:posOffset>474345</wp:posOffset>
            </wp:positionH>
            <wp:positionV relativeFrom="paragraph">
              <wp:posOffset>115570</wp:posOffset>
            </wp:positionV>
            <wp:extent cx="4382135" cy="2992755"/>
            <wp:effectExtent l="4445" t="4445" r="13970"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hint="eastAsia" w:ascii="仿宋" w:hAnsi="仿宋" w:eastAsia="仿宋"/>
          <w:color w:val="000000"/>
          <w:sz w:val="32"/>
          <w:szCs w:val="32"/>
          <w:shd w:val="pct10" w:color="auto" w:fill="FFFFFF"/>
          <w:lang w:eastAsia="zh-CN"/>
        </w:rPr>
      </w:pPr>
    </w:p>
    <w:p>
      <w:pPr>
        <w:spacing w:line="600" w:lineRule="exact"/>
        <w:ind w:firstLine="640"/>
        <w:rPr>
          <w:rFonts w:hint="eastAsia" w:ascii="仿宋" w:hAnsi="仿宋" w:eastAsia="仿宋"/>
          <w:color w:val="000000"/>
          <w:sz w:val="32"/>
          <w:szCs w:val="32"/>
          <w:shd w:val="pct10" w:color="auto" w:fill="FFFFFF"/>
          <w:lang w:eastAsia="zh-CN"/>
        </w:rPr>
      </w:pPr>
    </w:p>
    <w:p>
      <w:pPr>
        <w:spacing w:line="600" w:lineRule="exact"/>
        <w:ind w:firstLine="640"/>
        <w:rPr>
          <w:rFonts w:hint="eastAsia" w:ascii="仿宋" w:hAnsi="仿宋" w:eastAsia="仿宋"/>
          <w:color w:val="000000"/>
          <w:sz w:val="32"/>
          <w:szCs w:val="32"/>
          <w:shd w:val="pct10" w:color="auto" w:fill="FFFFFF"/>
          <w:lang w:eastAsia="zh-CN"/>
        </w:rPr>
      </w:pPr>
    </w:p>
    <w:p>
      <w:pPr>
        <w:spacing w:line="600" w:lineRule="exact"/>
        <w:ind w:firstLine="640"/>
        <w:rPr>
          <w:rFonts w:hint="eastAsia" w:ascii="仿宋" w:hAnsi="仿宋" w:eastAsia="仿宋"/>
          <w:color w:val="000000"/>
          <w:sz w:val="32"/>
          <w:szCs w:val="32"/>
          <w:shd w:val="pct10" w:color="auto" w:fill="FFFFFF"/>
          <w:lang w:eastAsia="zh-CN"/>
        </w:rPr>
      </w:pPr>
    </w:p>
    <w:p>
      <w:pPr>
        <w:spacing w:line="600" w:lineRule="exact"/>
        <w:ind w:firstLine="640"/>
        <w:rPr>
          <w:rFonts w:hint="eastAsia" w:ascii="仿宋" w:hAnsi="仿宋" w:eastAsia="仿宋"/>
          <w:color w:val="000000"/>
          <w:sz w:val="32"/>
          <w:szCs w:val="32"/>
          <w:shd w:val="pct10" w:color="auto" w:fill="FFFFFF"/>
          <w:lang w:eastAsia="zh-CN"/>
        </w:rPr>
      </w:pPr>
    </w:p>
    <w:p>
      <w:pPr>
        <w:spacing w:line="600" w:lineRule="exact"/>
        <w:ind w:firstLine="640"/>
        <w:rPr>
          <w:rFonts w:hint="eastAsia" w:ascii="仿宋" w:hAnsi="仿宋" w:eastAsia="仿宋"/>
          <w:color w:val="000000"/>
          <w:sz w:val="32"/>
          <w:szCs w:val="32"/>
          <w:shd w:val="pct10" w:color="auto" w:fill="FFFFFF"/>
          <w:lang w:eastAsia="zh-CN"/>
        </w:rPr>
      </w:pPr>
    </w:p>
    <w:p>
      <w:pPr>
        <w:pStyle w:val="23"/>
        <w:ind w:left="0" w:leftChars="0" w:firstLine="0" w:firstLineChars="0"/>
        <w:rPr>
          <w:rFonts w:ascii="仿宋" w:hAnsi="仿宋" w:eastAsia="仿宋"/>
          <w:color w:val="000000"/>
          <w:sz w:val="32"/>
          <w:szCs w:val="32"/>
          <w:shd w:val="pct10" w:color="auto" w:fill="FFFFFF"/>
        </w:rPr>
      </w:pPr>
    </w:p>
    <w:p>
      <w:pPr>
        <w:spacing w:line="600" w:lineRule="exact"/>
        <w:ind w:firstLine="2240" w:firstLineChars="7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53" w:name="_Toc79163613"/>
      <w:bookmarkStart w:id="54" w:name="_Toc10208"/>
      <w:bookmarkStart w:id="55" w:name="_Toc15396606"/>
      <w:bookmarkStart w:id="56"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53"/>
      <w:bookmarkEnd w:id="54"/>
      <w:bookmarkEnd w:id="55"/>
      <w:bookmarkEnd w:id="56"/>
    </w:p>
    <w:p>
      <w:pPr>
        <w:spacing w:line="60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2021年度财政拨款收、支总计854.83万元。与2020年相比，财政拨款收入总计减少76.55万元，下降8.22%；财政拨款支出总计减少12.54万元，下降1.45%；主要变动原因是单位人员变动，导致单位支出减少。</w:t>
      </w:r>
    </w:p>
    <w:p>
      <w:pPr>
        <w:pStyle w:val="23"/>
        <w:rPr>
          <w:rFonts w:ascii="仿宋" w:hAnsi="仿宋" w:eastAsia="仿宋"/>
          <w:color w:val="000000"/>
          <w:sz w:val="32"/>
          <w:szCs w:val="32"/>
        </w:rPr>
      </w:pPr>
      <w:r>
        <w:rPr>
          <w:rFonts w:hint="default" w:ascii="仿宋" w:hAnsi="仿宋" w:eastAsia="仿宋"/>
          <w:color w:val="000000"/>
          <w:sz w:val="32"/>
          <w:szCs w:val="32"/>
          <w:lang w:val="en-US" w:eastAsia="zh-CN"/>
        </w:rPr>
        <w:drawing>
          <wp:inline distT="0" distB="0" distL="114300" distR="114300">
            <wp:extent cx="4660265" cy="1970405"/>
            <wp:effectExtent l="4445" t="5080" r="21590" b="57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57" w:name="_Toc28591"/>
      <w:bookmarkStart w:id="58" w:name="_Toc79163614"/>
      <w:bookmarkStart w:id="59" w:name="_Toc15396607"/>
      <w:bookmarkStart w:id="60"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57"/>
      <w:bookmarkEnd w:id="58"/>
      <w:bookmarkEnd w:id="59"/>
      <w:bookmarkEnd w:id="60"/>
    </w:p>
    <w:p>
      <w:pPr>
        <w:spacing w:line="600" w:lineRule="exact"/>
        <w:ind w:firstLine="643" w:firstLineChars="200"/>
        <w:outlineLvl w:val="2"/>
        <w:rPr>
          <w:rFonts w:ascii="仿宋" w:hAnsi="仿宋" w:eastAsia="仿宋"/>
          <w:b/>
          <w:color w:val="000000"/>
          <w:sz w:val="32"/>
          <w:szCs w:val="32"/>
        </w:rPr>
      </w:pPr>
      <w:bookmarkStart w:id="61" w:name="_Toc15377210"/>
      <w:bookmarkStart w:id="62" w:name="_Toc79163615"/>
      <w:bookmarkStart w:id="63" w:name="_Toc22914"/>
      <w:r>
        <w:rPr>
          <w:rFonts w:hint="eastAsia" w:ascii="仿宋" w:hAnsi="仿宋" w:eastAsia="仿宋"/>
          <w:b/>
          <w:color w:val="000000"/>
          <w:sz w:val="32"/>
          <w:szCs w:val="32"/>
        </w:rPr>
        <w:t>（一）一般公共预算财政拨款支出决算总体情况</w:t>
      </w:r>
      <w:bookmarkEnd w:id="61"/>
      <w:bookmarkEnd w:id="62"/>
      <w:bookmarkEnd w:id="63"/>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2021年一般公共预算财政拨款支出854.83万元，占本年支出合计的100%。与2020年相比，一般公共预算财政拨款减少12.54万元，下降1.45%。主要变动原因是单位人员变动导致支出变化。</w:t>
      </w:r>
    </w:p>
    <w:p>
      <w:pPr>
        <w:pStyle w:val="23"/>
        <w:rPr>
          <w:rFonts w:hint="eastAsia" w:ascii="仿宋" w:hAnsi="仿宋" w:eastAsia="仿宋"/>
          <w:color w:val="000000"/>
          <w:sz w:val="32"/>
          <w:szCs w:val="32"/>
          <w:lang w:val="en-US" w:eastAsia="zh-CN"/>
        </w:rPr>
      </w:pPr>
    </w:p>
    <w:p>
      <w:pPr>
        <w:pStyle w:val="23"/>
        <w:rPr>
          <w:rFonts w:hint="eastAsia" w:ascii="仿宋" w:hAnsi="仿宋" w:eastAsia="仿宋"/>
          <w:color w:val="000000"/>
          <w:sz w:val="32"/>
          <w:szCs w:val="32"/>
          <w:lang w:val="en-US" w:eastAsia="zh-CN"/>
        </w:rPr>
      </w:pPr>
    </w:p>
    <w:p>
      <w:pPr>
        <w:pStyle w:val="23"/>
        <w:rPr>
          <w:rFonts w:hint="eastAsia" w:ascii="仿宋" w:hAnsi="仿宋" w:eastAsia="仿宋"/>
          <w:color w:val="000000"/>
          <w:sz w:val="32"/>
          <w:szCs w:val="32"/>
          <w:lang w:val="en-US" w:eastAsia="zh-CN"/>
        </w:rPr>
      </w:pPr>
    </w:p>
    <w:p>
      <w:pPr>
        <w:pStyle w:val="23"/>
        <w:rPr>
          <w:rFonts w:hint="eastAsia" w:ascii="仿宋" w:hAnsi="仿宋" w:eastAsia="仿宋"/>
          <w:color w:val="000000"/>
          <w:sz w:val="32"/>
          <w:szCs w:val="32"/>
          <w:lang w:val="en-US" w:eastAsia="zh-CN"/>
        </w:rPr>
      </w:pPr>
    </w:p>
    <w:p>
      <w:pPr>
        <w:pStyle w:val="23"/>
        <w:rPr>
          <w:rFonts w:hint="default" w:ascii="仿宋" w:hAnsi="仿宋" w:eastAsia="仿宋"/>
          <w:color w:val="000000"/>
          <w:sz w:val="32"/>
          <w:szCs w:val="32"/>
          <w:lang w:val="en-US" w:eastAsia="zh-CN"/>
        </w:rPr>
      </w:pPr>
      <w:r>
        <w:rPr>
          <w:rFonts w:hint="default" w:ascii="仿宋" w:hAnsi="仿宋" w:eastAsia="仿宋"/>
          <w:color w:val="000000"/>
          <w:sz w:val="32"/>
          <w:szCs w:val="32"/>
          <w:lang w:val="en-US" w:eastAsia="zh-CN"/>
        </w:rPr>
        <w:drawing>
          <wp:inline distT="0" distB="0" distL="114300" distR="114300">
            <wp:extent cx="4873625" cy="2595245"/>
            <wp:effectExtent l="4445" t="4445" r="17780" b="101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64" w:name="_Toc79163616"/>
      <w:bookmarkStart w:id="65" w:name="_Toc1208"/>
      <w:bookmarkStart w:id="66" w:name="_Toc15377211"/>
      <w:r>
        <w:rPr>
          <w:rFonts w:hint="eastAsia" w:ascii="仿宋" w:hAnsi="仿宋" w:eastAsia="仿宋"/>
          <w:b/>
          <w:color w:val="000000"/>
          <w:sz w:val="32"/>
          <w:szCs w:val="32"/>
        </w:rPr>
        <w:t>（二）一般公共预算财政拨款支出决算结构情况</w:t>
      </w:r>
      <w:bookmarkEnd w:id="64"/>
      <w:bookmarkEnd w:id="65"/>
      <w:bookmarkEnd w:id="66"/>
    </w:p>
    <w:p>
      <w:pPr>
        <w:spacing w:line="600" w:lineRule="exact"/>
        <w:ind w:firstLine="64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一般公共预算财政拨款支出854.83万元，主要用于以下方面:公共安全（类）支出713.16万元，占83.43%；社会保障和就业（类）75.07万元，占8.78%；卫生健康（类）支出24.26万元，占2.84%；住房保障（类）支出42.34万元，占4.95%。</w:t>
      </w:r>
    </w:p>
    <w:p>
      <w:pPr>
        <w:pStyle w:val="23"/>
        <w:ind w:left="0" w:leftChars="0" w:firstLine="0" w:firstLineChars="0"/>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 xml:space="preserve">    </w:t>
      </w:r>
      <w:r>
        <w:rPr>
          <w:rFonts w:hint="eastAsia" w:ascii="仿宋" w:hAnsi="仿宋" w:eastAsia="仿宋"/>
          <w:b/>
          <w:bCs/>
          <w:color w:val="000000"/>
          <w:sz w:val="32"/>
          <w:szCs w:val="32"/>
          <w:lang w:val="en-US" w:eastAsia="zh-CN"/>
        </w:rPr>
        <w:drawing>
          <wp:inline distT="0" distB="0" distL="114300" distR="114300">
            <wp:extent cx="4643120" cy="2310130"/>
            <wp:effectExtent l="4445" t="4445" r="1968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pStyle w:val="23"/>
        <w:rPr>
          <w:rFonts w:hint="eastAsia" w:ascii="仿宋" w:hAnsi="仿宋" w:eastAsia="仿宋"/>
          <w:color w:val="000000"/>
          <w:sz w:val="32"/>
          <w:szCs w:val="32"/>
        </w:rPr>
      </w:pPr>
    </w:p>
    <w:p>
      <w:pPr>
        <w:pStyle w:val="23"/>
        <w:rPr>
          <w:rFonts w:hint="eastAsia"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67" w:name="_Toc79163617"/>
      <w:bookmarkStart w:id="68" w:name="_Toc15377212"/>
      <w:bookmarkStart w:id="69" w:name="_Toc951"/>
      <w:r>
        <w:rPr>
          <w:rFonts w:hint="eastAsia" w:ascii="仿宋" w:hAnsi="仿宋" w:eastAsia="仿宋"/>
          <w:b/>
          <w:color w:val="000000"/>
          <w:sz w:val="32"/>
          <w:szCs w:val="32"/>
        </w:rPr>
        <w:t>（三）一般公共预算财政拨款支出决算具体情况</w:t>
      </w:r>
      <w:bookmarkEnd w:id="67"/>
      <w:bookmarkEnd w:id="68"/>
      <w:bookmarkEnd w:id="69"/>
    </w:p>
    <w:p>
      <w:pPr>
        <w:spacing w:line="600" w:lineRule="exact"/>
        <w:ind w:firstLine="643" w:firstLineChars="200"/>
        <w:rPr>
          <w:rFonts w:ascii="仿宋_GB2312" w:eastAsia="仿宋_GB2312"/>
          <w:b/>
          <w:bCs/>
          <w:sz w:val="32"/>
          <w:szCs w:val="32"/>
        </w:rPr>
      </w:pPr>
      <w:bookmarkStart w:id="70" w:name="_Toc15377444"/>
      <w:bookmarkStart w:id="71" w:name="_Toc15378460"/>
      <w:bookmarkStart w:id="72" w:name="_Toc15377213"/>
      <w:r>
        <w:rPr>
          <w:rFonts w:ascii="仿宋_GB2312" w:eastAsia="仿宋_GB2312"/>
          <w:b/>
          <w:bCs/>
          <w:sz w:val="32"/>
          <w:szCs w:val="32"/>
        </w:rPr>
        <w:t>202</w:t>
      </w:r>
      <w:r>
        <w:rPr>
          <w:rFonts w:hint="eastAsia" w:ascii="仿宋_GB2312" w:eastAsia="仿宋_GB2312"/>
          <w:b/>
          <w:bCs/>
          <w:sz w:val="32"/>
          <w:szCs w:val="32"/>
        </w:rPr>
        <w:t>1年一般公共预算支出决算数为854.83，完成预算</w:t>
      </w:r>
      <w:r>
        <w:rPr>
          <w:rFonts w:hint="eastAsia" w:ascii="仿宋_GB2312" w:eastAsia="仿宋_GB2312"/>
          <w:b/>
          <w:bCs/>
          <w:sz w:val="32"/>
          <w:szCs w:val="32"/>
          <w:lang w:val="en-US" w:eastAsia="zh-CN"/>
        </w:rPr>
        <w:t>100</w:t>
      </w:r>
      <w:r>
        <w:rPr>
          <w:rFonts w:ascii="仿宋_GB2312" w:eastAsia="仿宋_GB2312"/>
          <w:b/>
          <w:bCs/>
          <w:sz w:val="32"/>
          <w:szCs w:val="32"/>
        </w:rPr>
        <w:t>%</w:t>
      </w:r>
      <w:r>
        <w:rPr>
          <w:rFonts w:hint="eastAsia" w:ascii="仿宋_GB2312" w:eastAsia="仿宋_GB2312"/>
          <w:b/>
          <w:bCs/>
          <w:sz w:val="32"/>
          <w:szCs w:val="32"/>
        </w:rPr>
        <w:t>。其中：</w:t>
      </w:r>
      <w:bookmarkEnd w:id="70"/>
      <w:bookmarkEnd w:id="71"/>
      <w:bookmarkEnd w:id="7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21"/>
          <w:rFonts w:ascii="仿宋" w:hAnsi="仿宋" w:eastAsia="仿宋"/>
          <w:bCs/>
          <w:color w:val="000000"/>
          <w:sz w:val="32"/>
          <w:szCs w:val="32"/>
        </w:rPr>
        <w:t>1.</w:t>
      </w:r>
      <w:r>
        <w:rPr>
          <w:rStyle w:val="21"/>
          <w:rFonts w:hint="eastAsia" w:ascii="仿宋" w:hAnsi="仿宋" w:eastAsia="仿宋"/>
          <w:bCs/>
          <w:color w:val="000000"/>
          <w:sz w:val="32"/>
          <w:szCs w:val="32"/>
        </w:rPr>
        <w:t>公共安全支出（类）检察（款）行政运行（项）</w:t>
      </w:r>
      <w:r>
        <w:rPr>
          <w:rStyle w:val="21"/>
          <w:rFonts w:ascii="仿宋" w:hAnsi="仿宋" w:eastAsia="仿宋"/>
          <w:bCs/>
          <w:color w:val="000000"/>
          <w:sz w:val="32"/>
          <w:szCs w:val="32"/>
        </w:rPr>
        <w:t>:</w:t>
      </w:r>
      <w:r>
        <w:rPr>
          <w:rStyle w:val="21"/>
          <w:rFonts w:ascii="仿宋" w:hAnsi="仿宋" w:eastAsia="仿宋"/>
          <w:b w:val="0"/>
          <w:bCs/>
          <w:color w:val="000000"/>
          <w:sz w:val="32"/>
          <w:szCs w:val="32"/>
        </w:rPr>
        <w:t xml:space="preserve"> </w:t>
      </w:r>
      <w:r>
        <w:rPr>
          <w:rStyle w:val="21"/>
          <w:rFonts w:hint="eastAsia" w:ascii="仿宋" w:hAnsi="仿宋" w:eastAsia="仿宋"/>
          <w:b w:val="0"/>
          <w:bCs/>
          <w:color w:val="000000"/>
          <w:sz w:val="32"/>
          <w:szCs w:val="32"/>
        </w:rPr>
        <w:t>支出决算为504.4万元，完成预算</w:t>
      </w:r>
      <w:r>
        <w:rPr>
          <w:rStyle w:val="21"/>
          <w:rFonts w:hint="eastAsia" w:ascii="仿宋" w:hAnsi="仿宋" w:eastAsia="仿宋"/>
          <w:b w:val="0"/>
          <w:bCs/>
          <w:color w:val="000000"/>
          <w:sz w:val="32"/>
          <w:szCs w:val="32"/>
          <w:lang w:val="en-US" w:eastAsia="zh-CN"/>
        </w:rPr>
        <w:t>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21"/>
          <w:rFonts w:hint="eastAsia" w:ascii="仿宋" w:hAnsi="仿宋" w:eastAsia="仿宋"/>
          <w:bCs/>
          <w:color w:val="000000"/>
          <w:sz w:val="32"/>
          <w:szCs w:val="32"/>
          <w:lang w:val="en-US" w:eastAsia="zh-CN"/>
        </w:rPr>
        <w:t>2</w:t>
      </w:r>
      <w:r>
        <w:rPr>
          <w:rStyle w:val="21"/>
          <w:rFonts w:ascii="仿宋" w:hAnsi="仿宋" w:eastAsia="仿宋"/>
          <w:bCs/>
          <w:color w:val="000000"/>
          <w:sz w:val="32"/>
          <w:szCs w:val="32"/>
        </w:rPr>
        <w:t>.</w:t>
      </w:r>
      <w:r>
        <w:rPr>
          <w:rStyle w:val="21"/>
          <w:rFonts w:hint="eastAsia" w:ascii="仿宋" w:hAnsi="仿宋" w:eastAsia="仿宋"/>
          <w:bCs/>
          <w:color w:val="000000"/>
          <w:sz w:val="32"/>
          <w:szCs w:val="32"/>
        </w:rPr>
        <w:t>公共安全支出（类）检察（款）一般行政管理事务（项）</w:t>
      </w:r>
      <w:r>
        <w:rPr>
          <w:rStyle w:val="21"/>
          <w:rFonts w:ascii="仿宋" w:hAnsi="仿宋" w:eastAsia="仿宋"/>
          <w:bCs/>
          <w:color w:val="000000"/>
          <w:sz w:val="32"/>
          <w:szCs w:val="32"/>
        </w:rPr>
        <w:t>:</w:t>
      </w:r>
      <w:r>
        <w:rPr>
          <w:rStyle w:val="21"/>
          <w:rFonts w:ascii="仿宋" w:hAnsi="仿宋" w:eastAsia="仿宋"/>
          <w:b w:val="0"/>
          <w:bCs/>
          <w:color w:val="000000"/>
          <w:sz w:val="32"/>
          <w:szCs w:val="32"/>
        </w:rPr>
        <w:t xml:space="preserve"> </w:t>
      </w:r>
      <w:r>
        <w:rPr>
          <w:rStyle w:val="21"/>
          <w:rFonts w:hint="eastAsia" w:ascii="仿宋" w:hAnsi="仿宋" w:eastAsia="仿宋"/>
          <w:b w:val="0"/>
          <w:bCs/>
          <w:color w:val="000000"/>
          <w:sz w:val="32"/>
          <w:szCs w:val="32"/>
        </w:rPr>
        <w:t>支出决算为504.4万元，完成预算</w:t>
      </w:r>
      <w:r>
        <w:rPr>
          <w:rStyle w:val="21"/>
          <w:rFonts w:hint="eastAsia" w:ascii="仿宋" w:hAnsi="仿宋" w:eastAsia="仿宋"/>
          <w:b w:val="0"/>
          <w:bCs/>
          <w:color w:val="000000"/>
          <w:sz w:val="32"/>
          <w:szCs w:val="32"/>
          <w:lang w:val="en-US" w:eastAsia="zh-CN"/>
        </w:rPr>
        <w:t>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21"/>
          <w:rFonts w:ascii="仿宋" w:hAnsi="仿宋" w:eastAsia="仿宋"/>
          <w:bCs/>
          <w:color w:val="000000"/>
          <w:sz w:val="32"/>
          <w:szCs w:val="32"/>
        </w:rPr>
        <w:t>3.</w:t>
      </w:r>
      <w:r>
        <w:rPr>
          <w:rStyle w:val="21"/>
          <w:rFonts w:hint="eastAsia" w:ascii="仿宋" w:hAnsi="仿宋" w:eastAsia="仿宋"/>
          <w:bCs/>
          <w:color w:val="000000"/>
          <w:sz w:val="32"/>
          <w:szCs w:val="32"/>
        </w:rPr>
        <w:t>公共安全支出（类）检察（款）其他检察支出（项）</w:t>
      </w:r>
      <w:r>
        <w:rPr>
          <w:rStyle w:val="21"/>
          <w:rFonts w:ascii="仿宋" w:hAnsi="仿宋" w:eastAsia="仿宋"/>
          <w:bCs/>
          <w:color w:val="000000"/>
          <w:sz w:val="32"/>
          <w:szCs w:val="32"/>
        </w:rPr>
        <w:t>:</w:t>
      </w:r>
      <w:r>
        <w:rPr>
          <w:rStyle w:val="21"/>
          <w:rFonts w:ascii="仿宋" w:hAnsi="仿宋" w:eastAsia="仿宋"/>
          <w:b w:val="0"/>
          <w:bCs/>
          <w:color w:val="000000"/>
          <w:sz w:val="32"/>
          <w:szCs w:val="32"/>
        </w:rPr>
        <w:t xml:space="preserve"> </w:t>
      </w:r>
      <w:r>
        <w:rPr>
          <w:rStyle w:val="21"/>
          <w:rFonts w:hint="eastAsia" w:ascii="仿宋" w:hAnsi="仿宋" w:eastAsia="仿宋"/>
          <w:b w:val="0"/>
          <w:bCs/>
          <w:color w:val="000000"/>
          <w:sz w:val="32"/>
          <w:szCs w:val="32"/>
        </w:rPr>
        <w:t>支出决算为25.35万元，完成预算</w:t>
      </w:r>
      <w:r>
        <w:rPr>
          <w:rStyle w:val="21"/>
          <w:rFonts w:hint="eastAsia" w:ascii="仿宋" w:hAnsi="仿宋" w:eastAsia="仿宋"/>
          <w:b w:val="0"/>
          <w:bCs/>
          <w:color w:val="000000"/>
          <w:sz w:val="32"/>
          <w:szCs w:val="32"/>
          <w:lang w:val="en-US" w:eastAsia="zh-CN"/>
        </w:rPr>
        <w:t>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21"/>
          <w:rFonts w:ascii="仿宋" w:hAnsi="仿宋" w:eastAsia="仿宋"/>
          <w:bCs/>
          <w:color w:val="000000"/>
          <w:sz w:val="32"/>
          <w:szCs w:val="32"/>
        </w:rPr>
        <w:t>4.</w:t>
      </w:r>
      <w:r>
        <w:rPr>
          <w:rStyle w:val="21"/>
          <w:rFonts w:hint="eastAsia" w:ascii="仿宋" w:hAnsi="仿宋" w:eastAsia="仿宋"/>
          <w:bCs/>
          <w:color w:val="000000"/>
          <w:sz w:val="32"/>
          <w:szCs w:val="32"/>
        </w:rPr>
        <w:t>公共安全支出（类）其他公共安全支出（款）国家司法救助支出（项）</w:t>
      </w:r>
      <w:r>
        <w:rPr>
          <w:rStyle w:val="21"/>
          <w:rFonts w:ascii="仿宋" w:hAnsi="仿宋" w:eastAsia="仿宋"/>
          <w:bCs/>
          <w:color w:val="000000"/>
          <w:sz w:val="32"/>
          <w:szCs w:val="32"/>
        </w:rPr>
        <w:t>:</w:t>
      </w:r>
      <w:r>
        <w:rPr>
          <w:rStyle w:val="21"/>
          <w:rFonts w:ascii="仿宋" w:hAnsi="仿宋" w:eastAsia="仿宋"/>
          <w:b w:val="0"/>
          <w:bCs/>
          <w:color w:val="000000"/>
          <w:sz w:val="32"/>
          <w:szCs w:val="32"/>
        </w:rPr>
        <w:t xml:space="preserve"> </w:t>
      </w:r>
      <w:r>
        <w:rPr>
          <w:rStyle w:val="21"/>
          <w:rFonts w:hint="eastAsia" w:ascii="仿宋" w:hAnsi="仿宋" w:eastAsia="仿宋"/>
          <w:b w:val="0"/>
          <w:bCs/>
          <w:color w:val="000000"/>
          <w:sz w:val="32"/>
          <w:szCs w:val="32"/>
        </w:rPr>
        <w:t>支出决算为1.2万元，完成预算</w:t>
      </w:r>
      <w:r>
        <w:rPr>
          <w:rStyle w:val="21"/>
          <w:rFonts w:hint="eastAsia" w:ascii="仿宋" w:hAnsi="仿宋" w:eastAsia="仿宋"/>
          <w:b w:val="0"/>
          <w:bCs/>
          <w:color w:val="000000"/>
          <w:sz w:val="32"/>
          <w:szCs w:val="32"/>
          <w:lang w:val="en-US" w:eastAsia="zh-CN"/>
        </w:rPr>
        <w:t>100.00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21"/>
          <w:rFonts w:hint="eastAsia" w:ascii="仿宋" w:hAnsi="仿宋" w:eastAsia="仿宋"/>
          <w:b w:val="0"/>
          <w:bCs/>
          <w:color w:val="000000"/>
          <w:sz w:val="32"/>
          <w:szCs w:val="32"/>
        </w:rPr>
      </w:pPr>
      <w:r>
        <w:rPr>
          <w:rStyle w:val="21"/>
          <w:rFonts w:ascii="仿宋" w:hAnsi="仿宋" w:eastAsia="仿宋"/>
          <w:bCs/>
          <w:color w:val="000000"/>
          <w:sz w:val="32"/>
          <w:szCs w:val="32"/>
        </w:rPr>
        <w:t>5.</w:t>
      </w:r>
      <w:r>
        <w:rPr>
          <w:rStyle w:val="21"/>
          <w:rFonts w:hint="eastAsia" w:ascii="仿宋" w:hAnsi="仿宋" w:eastAsia="仿宋"/>
          <w:bCs/>
          <w:color w:val="000000"/>
          <w:sz w:val="32"/>
          <w:szCs w:val="32"/>
        </w:rPr>
        <w:t>社会保障和就业（类）行政事业单位养老支出（款）机关事业单位基本养老保险缴费支出（项）</w:t>
      </w:r>
      <w:r>
        <w:rPr>
          <w:rStyle w:val="21"/>
          <w:rFonts w:ascii="仿宋" w:hAnsi="仿宋" w:eastAsia="仿宋"/>
          <w:bCs/>
          <w:color w:val="000000"/>
          <w:sz w:val="32"/>
          <w:szCs w:val="32"/>
        </w:rPr>
        <w:t>:</w:t>
      </w:r>
      <w:r>
        <w:rPr>
          <w:rStyle w:val="21"/>
          <w:rFonts w:ascii="仿宋" w:hAnsi="仿宋" w:eastAsia="仿宋"/>
          <w:b w:val="0"/>
          <w:bCs/>
          <w:color w:val="000000"/>
          <w:sz w:val="32"/>
          <w:szCs w:val="32"/>
        </w:rPr>
        <w:t xml:space="preserve"> </w:t>
      </w:r>
      <w:r>
        <w:rPr>
          <w:rStyle w:val="21"/>
          <w:rFonts w:hint="eastAsia" w:ascii="仿宋" w:hAnsi="仿宋" w:eastAsia="仿宋"/>
          <w:b w:val="0"/>
          <w:bCs/>
          <w:color w:val="000000"/>
          <w:sz w:val="32"/>
          <w:szCs w:val="32"/>
        </w:rPr>
        <w:t>支出决算为36.09万元，完成预算</w:t>
      </w:r>
      <w:r>
        <w:rPr>
          <w:rStyle w:val="21"/>
          <w:rFonts w:hint="eastAsia" w:ascii="仿宋" w:hAnsi="仿宋" w:eastAsia="仿宋"/>
          <w:b w:val="0"/>
          <w:bCs/>
          <w:color w:val="000000"/>
          <w:sz w:val="32"/>
          <w:szCs w:val="32"/>
          <w:lang w:val="en-US" w:eastAsia="zh-CN"/>
        </w:rPr>
        <w:t>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21"/>
          <w:rFonts w:hint="eastAsia" w:ascii="仿宋" w:hAnsi="仿宋" w:eastAsia="仿宋"/>
          <w:bCs/>
          <w:color w:val="000000"/>
          <w:sz w:val="32"/>
          <w:szCs w:val="32"/>
          <w:lang w:val="en-US" w:eastAsia="zh-CN"/>
        </w:rPr>
        <w:t>6</w:t>
      </w:r>
      <w:r>
        <w:rPr>
          <w:rStyle w:val="21"/>
          <w:rFonts w:ascii="仿宋" w:hAnsi="仿宋" w:eastAsia="仿宋"/>
          <w:bCs/>
          <w:color w:val="000000"/>
          <w:sz w:val="32"/>
          <w:szCs w:val="32"/>
        </w:rPr>
        <w:t>.</w:t>
      </w:r>
      <w:r>
        <w:rPr>
          <w:rStyle w:val="21"/>
          <w:rFonts w:hint="eastAsia" w:ascii="仿宋" w:hAnsi="仿宋" w:eastAsia="仿宋"/>
          <w:bCs/>
          <w:color w:val="000000"/>
          <w:sz w:val="32"/>
          <w:szCs w:val="32"/>
        </w:rPr>
        <w:t>社会保障和就业（类）行政事业单位养老支出（款）机关事业单位职业年金缴费支出（项）</w:t>
      </w:r>
      <w:r>
        <w:rPr>
          <w:rStyle w:val="21"/>
          <w:rFonts w:ascii="仿宋" w:hAnsi="仿宋" w:eastAsia="仿宋"/>
          <w:bCs/>
          <w:color w:val="000000"/>
          <w:sz w:val="32"/>
          <w:szCs w:val="32"/>
        </w:rPr>
        <w:t>:</w:t>
      </w:r>
      <w:r>
        <w:rPr>
          <w:rStyle w:val="21"/>
          <w:rFonts w:ascii="仿宋" w:hAnsi="仿宋" w:eastAsia="仿宋"/>
          <w:b w:val="0"/>
          <w:bCs/>
          <w:color w:val="000000"/>
          <w:sz w:val="32"/>
          <w:szCs w:val="32"/>
        </w:rPr>
        <w:t xml:space="preserve"> </w:t>
      </w:r>
      <w:r>
        <w:rPr>
          <w:rStyle w:val="21"/>
          <w:rFonts w:hint="eastAsia" w:ascii="仿宋" w:hAnsi="仿宋" w:eastAsia="仿宋"/>
          <w:b w:val="0"/>
          <w:bCs/>
          <w:color w:val="000000"/>
          <w:sz w:val="32"/>
          <w:szCs w:val="32"/>
        </w:rPr>
        <w:t>支出决算为17.54万元，完成预算</w:t>
      </w:r>
      <w:r>
        <w:rPr>
          <w:rStyle w:val="21"/>
          <w:rFonts w:hint="eastAsia" w:ascii="仿宋" w:hAnsi="仿宋" w:eastAsia="仿宋"/>
          <w:b w:val="0"/>
          <w:bCs/>
          <w:color w:val="000000"/>
          <w:sz w:val="32"/>
          <w:szCs w:val="32"/>
          <w:lang w:val="en-US" w:eastAsia="zh-CN"/>
        </w:rPr>
        <w:t>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Style w:val="21"/>
          <w:rFonts w:hint="eastAsia" w:ascii="仿宋" w:hAnsi="仿宋" w:eastAsia="仿宋"/>
          <w:bCs/>
          <w:color w:val="000000"/>
          <w:sz w:val="32"/>
          <w:szCs w:val="32"/>
          <w:lang w:val="en-US" w:eastAsia="zh-CN"/>
        </w:rPr>
        <w:t>7</w:t>
      </w:r>
      <w:r>
        <w:rPr>
          <w:rStyle w:val="21"/>
          <w:rFonts w:ascii="仿宋" w:hAnsi="仿宋" w:eastAsia="仿宋"/>
          <w:bCs/>
          <w:color w:val="000000"/>
          <w:sz w:val="32"/>
          <w:szCs w:val="32"/>
        </w:rPr>
        <w:t>.</w:t>
      </w:r>
      <w:r>
        <w:rPr>
          <w:rStyle w:val="21"/>
          <w:rFonts w:hint="eastAsia" w:ascii="仿宋" w:hAnsi="仿宋" w:eastAsia="仿宋"/>
          <w:bCs/>
          <w:color w:val="000000"/>
          <w:sz w:val="32"/>
          <w:szCs w:val="32"/>
        </w:rPr>
        <w:t>社会保障和就业（类）抚恤（款）死亡抚恤（项）</w:t>
      </w:r>
      <w:r>
        <w:rPr>
          <w:rStyle w:val="21"/>
          <w:rFonts w:ascii="仿宋" w:hAnsi="仿宋" w:eastAsia="仿宋"/>
          <w:bCs/>
          <w:color w:val="000000"/>
          <w:sz w:val="32"/>
          <w:szCs w:val="32"/>
        </w:rPr>
        <w:t>:</w:t>
      </w:r>
      <w:r>
        <w:rPr>
          <w:rStyle w:val="21"/>
          <w:rFonts w:ascii="仿宋" w:hAnsi="仿宋" w:eastAsia="仿宋"/>
          <w:b w:val="0"/>
          <w:bCs/>
          <w:color w:val="000000"/>
          <w:sz w:val="32"/>
          <w:szCs w:val="32"/>
        </w:rPr>
        <w:t xml:space="preserve"> </w:t>
      </w:r>
      <w:r>
        <w:rPr>
          <w:rStyle w:val="21"/>
          <w:rFonts w:hint="eastAsia" w:ascii="仿宋" w:hAnsi="仿宋" w:eastAsia="仿宋"/>
          <w:b w:val="0"/>
          <w:bCs/>
          <w:color w:val="000000"/>
          <w:sz w:val="32"/>
          <w:szCs w:val="32"/>
        </w:rPr>
        <w:t>支出决算为21.45万元，完成预算</w:t>
      </w:r>
      <w:r>
        <w:rPr>
          <w:rStyle w:val="21"/>
          <w:rFonts w:hint="eastAsia" w:ascii="仿宋" w:hAnsi="仿宋" w:eastAsia="仿宋"/>
          <w:b w:val="0"/>
          <w:bCs/>
          <w:color w:val="000000"/>
          <w:sz w:val="32"/>
          <w:szCs w:val="32"/>
          <w:lang w:val="en-US" w:eastAsia="zh-CN"/>
        </w:rPr>
        <w:t>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21"/>
          <w:rFonts w:hint="eastAsia" w:ascii="仿宋" w:hAnsi="仿宋" w:eastAsia="仿宋"/>
          <w:bCs/>
          <w:color w:val="000000"/>
          <w:sz w:val="32"/>
          <w:szCs w:val="32"/>
          <w:lang w:val="en-US" w:eastAsia="zh-CN"/>
        </w:rPr>
        <w:t>8</w:t>
      </w:r>
      <w:r>
        <w:rPr>
          <w:rStyle w:val="21"/>
          <w:rFonts w:ascii="仿宋" w:hAnsi="仿宋" w:eastAsia="仿宋"/>
          <w:bCs/>
          <w:color w:val="000000"/>
          <w:sz w:val="32"/>
          <w:szCs w:val="32"/>
        </w:rPr>
        <w:t>.</w:t>
      </w:r>
      <w:r>
        <w:rPr>
          <w:rFonts w:hint="eastAsia" w:ascii="仿宋" w:hAnsi="仿宋" w:eastAsia="仿宋"/>
          <w:b/>
          <w:bCs/>
          <w:color w:val="000000"/>
          <w:sz w:val="32"/>
          <w:szCs w:val="32"/>
        </w:rPr>
        <w:t>卫生健康</w:t>
      </w:r>
      <w:r>
        <w:rPr>
          <w:rStyle w:val="21"/>
          <w:rFonts w:hint="eastAsia" w:ascii="仿宋" w:hAnsi="仿宋" w:eastAsia="仿宋"/>
          <w:bCs/>
          <w:color w:val="000000"/>
          <w:sz w:val="32"/>
          <w:szCs w:val="32"/>
        </w:rPr>
        <w:t>（类）行政事业单位医疗（款）行政单位医疗（项）</w:t>
      </w:r>
      <w:r>
        <w:rPr>
          <w:rStyle w:val="21"/>
          <w:rFonts w:ascii="仿宋" w:hAnsi="仿宋" w:eastAsia="仿宋"/>
          <w:bCs/>
          <w:color w:val="000000"/>
          <w:sz w:val="32"/>
          <w:szCs w:val="32"/>
        </w:rPr>
        <w:t>:</w:t>
      </w:r>
      <w:r>
        <w:rPr>
          <w:rStyle w:val="21"/>
          <w:rFonts w:hint="eastAsia" w:ascii="仿宋" w:hAnsi="仿宋" w:eastAsia="仿宋"/>
          <w:b w:val="0"/>
          <w:bCs/>
          <w:color w:val="000000"/>
          <w:sz w:val="32"/>
          <w:szCs w:val="32"/>
        </w:rPr>
        <w:t>支出决算为18.99万元，完成预算</w:t>
      </w:r>
      <w:r>
        <w:rPr>
          <w:rStyle w:val="21"/>
          <w:rFonts w:hint="eastAsia" w:ascii="仿宋" w:hAnsi="仿宋" w:eastAsia="仿宋"/>
          <w:b w:val="0"/>
          <w:bCs/>
          <w:color w:val="000000"/>
          <w:sz w:val="32"/>
          <w:szCs w:val="32"/>
          <w:lang w:val="en-US" w:eastAsia="zh-CN"/>
        </w:rPr>
        <w:t>100.00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21"/>
          <w:rFonts w:hint="eastAsia" w:ascii="仿宋" w:hAnsi="仿宋" w:eastAsia="仿宋"/>
          <w:b w:val="0"/>
          <w:bCs/>
          <w:color w:val="000000"/>
          <w:sz w:val="32"/>
          <w:szCs w:val="32"/>
        </w:rPr>
      </w:pPr>
      <w:r>
        <w:rPr>
          <w:rStyle w:val="21"/>
          <w:rFonts w:hint="eastAsia" w:ascii="仿宋" w:hAnsi="仿宋" w:eastAsia="仿宋"/>
          <w:bCs/>
          <w:color w:val="000000"/>
          <w:sz w:val="32"/>
          <w:szCs w:val="32"/>
          <w:lang w:val="en-US" w:eastAsia="zh-CN"/>
        </w:rPr>
        <w:t>9</w:t>
      </w:r>
      <w:r>
        <w:rPr>
          <w:rStyle w:val="21"/>
          <w:rFonts w:ascii="仿宋" w:hAnsi="仿宋" w:eastAsia="仿宋"/>
          <w:bCs/>
          <w:color w:val="000000"/>
          <w:sz w:val="32"/>
          <w:szCs w:val="32"/>
        </w:rPr>
        <w:t>.</w:t>
      </w:r>
      <w:r>
        <w:rPr>
          <w:rFonts w:hint="eastAsia" w:ascii="仿宋" w:hAnsi="仿宋" w:eastAsia="仿宋"/>
          <w:b/>
          <w:bCs/>
          <w:color w:val="000000"/>
          <w:sz w:val="32"/>
          <w:szCs w:val="32"/>
        </w:rPr>
        <w:t>卫生健康</w:t>
      </w:r>
      <w:r>
        <w:rPr>
          <w:rStyle w:val="21"/>
          <w:rFonts w:hint="eastAsia" w:ascii="仿宋" w:hAnsi="仿宋" w:eastAsia="仿宋"/>
          <w:bCs/>
          <w:color w:val="000000"/>
          <w:sz w:val="32"/>
          <w:szCs w:val="32"/>
        </w:rPr>
        <w:t>（类）行政事业单位医疗（款）公务员医疗补助（项）</w:t>
      </w:r>
      <w:r>
        <w:rPr>
          <w:rStyle w:val="21"/>
          <w:rFonts w:ascii="仿宋" w:hAnsi="仿宋" w:eastAsia="仿宋"/>
          <w:bCs/>
          <w:color w:val="000000"/>
          <w:sz w:val="32"/>
          <w:szCs w:val="32"/>
        </w:rPr>
        <w:t>:</w:t>
      </w:r>
      <w:r>
        <w:rPr>
          <w:rStyle w:val="21"/>
          <w:rFonts w:hint="eastAsia" w:ascii="仿宋" w:hAnsi="仿宋" w:eastAsia="仿宋"/>
          <w:b w:val="0"/>
          <w:bCs/>
          <w:color w:val="000000"/>
          <w:sz w:val="32"/>
          <w:szCs w:val="32"/>
        </w:rPr>
        <w:t>支出决算为5.27万元，完成预算</w:t>
      </w:r>
      <w:r>
        <w:rPr>
          <w:rStyle w:val="21"/>
          <w:rFonts w:hint="eastAsia" w:ascii="仿宋" w:hAnsi="仿宋" w:eastAsia="仿宋"/>
          <w:b w:val="0"/>
          <w:bCs/>
          <w:color w:val="000000"/>
          <w:sz w:val="32"/>
          <w:szCs w:val="32"/>
          <w:lang w:val="en-US" w:eastAsia="zh-CN"/>
        </w:rPr>
        <w:t>100.00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21"/>
          <w:rFonts w:hint="eastAsia" w:ascii="仿宋" w:hAnsi="仿宋" w:eastAsia="仿宋"/>
          <w:bCs/>
          <w:color w:val="000000"/>
          <w:sz w:val="32"/>
          <w:szCs w:val="32"/>
          <w:lang w:val="en-US" w:eastAsia="zh-CN"/>
        </w:rPr>
        <w:t>10</w:t>
      </w:r>
      <w:r>
        <w:rPr>
          <w:rStyle w:val="21"/>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21"/>
          <w:rFonts w:hint="eastAsia" w:ascii="仿宋" w:hAnsi="仿宋" w:eastAsia="仿宋"/>
          <w:bCs/>
          <w:color w:val="000000"/>
          <w:sz w:val="32"/>
          <w:szCs w:val="32"/>
        </w:rPr>
        <w:t>（类）住房改革支出（款）住房公积金（项）</w:t>
      </w:r>
      <w:r>
        <w:rPr>
          <w:rStyle w:val="21"/>
          <w:rFonts w:ascii="仿宋" w:hAnsi="仿宋" w:eastAsia="仿宋"/>
          <w:bCs/>
          <w:color w:val="000000"/>
          <w:sz w:val="32"/>
          <w:szCs w:val="32"/>
        </w:rPr>
        <w:t>:</w:t>
      </w:r>
      <w:r>
        <w:rPr>
          <w:rStyle w:val="21"/>
          <w:rFonts w:hint="eastAsia" w:ascii="仿宋" w:hAnsi="仿宋" w:eastAsia="仿宋"/>
          <w:b w:val="0"/>
          <w:bCs/>
          <w:color w:val="000000"/>
          <w:sz w:val="32"/>
          <w:szCs w:val="32"/>
        </w:rPr>
        <w:t>支出决算为41.02万元，完成预算</w:t>
      </w:r>
      <w:r>
        <w:rPr>
          <w:rStyle w:val="21"/>
          <w:rFonts w:hint="eastAsia" w:ascii="仿宋" w:hAnsi="仿宋" w:eastAsia="仿宋"/>
          <w:b w:val="0"/>
          <w:bCs/>
          <w:color w:val="000000"/>
          <w:sz w:val="32"/>
          <w:szCs w:val="32"/>
          <w:lang w:val="en-US" w:eastAsia="zh-CN"/>
        </w:rPr>
        <w:t>100.00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Style w:val="21"/>
          <w:rFonts w:hint="eastAsia" w:ascii="仿宋" w:hAnsi="仿宋" w:eastAsia="仿宋"/>
          <w:bCs/>
          <w:color w:val="000000"/>
          <w:sz w:val="32"/>
          <w:szCs w:val="32"/>
          <w:lang w:val="en-US" w:eastAsia="zh-CN"/>
        </w:rPr>
        <w:t>11</w:t>
      </w:r>
      <w:r>
        <w:rPr>
          <w:rStyle w:val="21"/>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21"/>
          <w:rFonts w:hint="eastAsia" w:ascii="仿宋" w:hAnsi="仿宋" w:eastAsia="仿宋"/>
          <w:bCs/>
          <w:color w:val="000000"/>
          <w:sz w:val="32"/>
          <w:szCs w:val="32"/>
        </w:rPr>
        <w:t>（类）住房改革支出（款）购房补贴（项）</w:t>
      </w:r>
      <w:r>
        <w:rPr>
          <w:rStyle w:val="21"/>
          <w:rFonts w:ascii="仿宋" w:hAnsi="仿宋" w:eastAsia="仿宋"/>
          <w:bCs/>
          <w:color w:val="000000"/>
          <w:sz w:val="32"/>
          <w:szCs w:val="32"/>
        </w:rPr>
        <w:t>:</w:t>
      </w:r>
      <w:r>
        <w:rPr>
          <w:rStyle w:val="21"/>
          <w:rFonts w:hint="eastAsia" w:ascii="仿宋" w:hAnsi="仿宋" w:eastAsia="仿宋"/>
          <w:b w:val="0"/>
          <w:bCs/>
          <w:color w:val="000000"/>
          <w:sz w:val="32"/>
          <w:szCs w:val="32"/>
        </w:rPr>
        <w:t>支出决算为1.32万元，完成预算</w:t>
      </w:r>
      <w:r>
        <w:rPr>
          <w:rStyle w:val="21"/>
          <w:rFonts w:hint="eastAsia" w:ascii="仿宋" w:hAnsi="仿宋" w:eastAsia="仿宋"/>
          <w:b w:val="0"/>
          <w:bCs/>
          <w:color w:val="000000"/>
          <w:sz w:val="32"/>
          <w:szCs w:val="32"/>
          <w:lang w:val="en-US" w:eastAsia="zh-CN"/>
        </w:rPr>
        <w:t>100.00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，决算数等于预算数。</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25"/>
        </w:rPr>
      </w:pPr>
      <w:bookmarkStart w:id="73" w:name="_Toc15396608"/>
      <w:bookmarkStart w:id="74" w:name="_Toc15377214"/>
      <w:bookmarkStart w:id="75" w:name="_Toc5314"/>
      <w:bookmarkStart w:id="76" w:name="_Toc7916361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73"/>
      <w:bookmarkEnd w:id="74"/>
      <w:bookmarkEnd w:id="75"/>
      <w:bookmarkEnd w:id="76"/>
      <w:r>
        <w:rPr>
          <w:rStyle w:val="25"/>
          <w:rFonts w:ascii="黑体" w:hAnsi="黑体" w:eastAsia="黑体"/>
          <w:b w:val="0"/>
        </w:rPr>
        <w:tab/>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2021年一般公共预算财政拨款基本支出624.63万元，其中：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人员经费586.74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日常公用经费37.88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77" w:name="_Toc18365"/>
      <w:bookmarkStart w:id="78" w:name="_Toc15396609"/>
      <w:bookmarkStart w:id="79" w:name="_Toc79163619"/>
      <w:bookmarkStart w:id="80"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77"/>
      <w:bookmarkEnd w:id="78"/>
      <w:bookmarkEnd w:id="79"/>
      <w:bookmarkEnd w:id="80"/>
    </w:p>
    <w:p>
      <w:pPr>
        <w:spacing w:line="600" w:lineRule="exact"/>
        <w:ind w:firstLine="640"/>
        <w:outlineLvl w:val="2"/>
        <w:rPr>
          <w:rFonts w:ascii="仿宋" w:hAnsi="仿宋" w:eastAsia="仿宋"/>
          <w:b/>
          <w:color w:val="000000"/>
          <w:sz w:val="32"/>
          <w:szCs w:val="32"/>
        </w:rPr>
      </w:pPr>
      <w:bookmarkStart w:id="81" w:name="_Toc79163620"/>
      <w:bookmarkStart w:id="82" w:name="_Toc3044"/>
      <w:bookmarkStart w:id="83" w:name="_Toc15377216"/>
      <w:r>
        <w:rPr>
          <w:rFonts w:hint="eastAsia" w:ascii="仿宋" w:hAnsi="仿宋" w:eastAsia="仿宋"/>
          <w:b/>
          <w:color w:val="000000"/>
          <w:sz w:val="32"/>
          <w:szCs w:val="32"/>
        </w:rPr>
        <w:t>（一）“三公”经费财政拨款支出决算总体情况说明</w:t>
      </w:r>
      <w:bookmarkEnd w:id="81"/>
      <w:bookmarkEnd w:id="82"/>
      <w:bookmarkEnd w:id="83"/>
    </w:p>
    <w:p>
      <w:pPr>
        <w:spacing w:line="600" w:lineRule="exact"/>
        <w:ind w:firstLine="64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2021年“三公”经费财政拨款支出决算为2.4万元，完成预算100%，决算数与预算数持平。</w:t>
      </w:r>
    </w:p>
    <w:p>
      <w:pPr>
        <w:spacing w:line="600" w:lineRule="exact"/>
        <w:ind w:firstLine="640"/>
        <w:outlineLvl w:val="2"/>
        <w:rPr>
          <w:rFonts w:hint="eastAsia" w:ascii="仿宋" w:hAnsi="仿宋" w:eastAsia="仿宋"/>
          <w:b/>
          <w:color w:val="000000"/>
          <w:sz w:val="32"/>
          <w:szCs w:val="32"/>
        </w:rPr>
      </w:pPr>
      <w:bookmarkStart w:id="84" w:name="_Toc79163621"/>
      <w:bookmarkStart w:id="85" w:name="_Toc15377217"/>
    </w:p>
    <w:p>
      <w:pPr>
        <w:spacing w:line="600" w:lineRule="exact"/>
        <w:ind w:firstLine="640"/>
        <w:outlineLvl w:val="2"/>
        <w:rPr>
          <w:rFonts w:ascii="仿宋" w:hAnsi="仿宋" w:eastAsia="仿宋"/>
          <w:b/>
          <w:color w:val="000000"/>
          <w:sz w:val="32"/>
          <w:szCs w:val="32"/>
        </w:rPr>
      </w:pPr>
      <w:bookmarkStart w:id="86" w:name="_Toc14805"/>
      <w:r>
        <w:rPr>
          <w:rFonts w:hint="eastAsia" w:ascii="仿宋" w:hAnsi="仿宋" w:eastAsia="仿宋"/>
          <w:b/>
          <w:color w:val="000000"/>
          <w:sz w:val="32"/>
          <w:szCs w:val="32"/>
        </w:rPr>
        <w:t>（二）“三公”经费财政拨款支出决算具体情况说明</w:t>
      </w:r>
      <w:bookmarkEnd w:id="84"/>
      <w:bookmarkEnd w:id="85"/>
      <w:bookmarkEnd w:id="86"/>
    </w:p>
    <w:p>
      <w:pPr>
        <w:spacing w:line="600" w:lineRule="exact"/>
        <w:ind w:firstLine="64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2021年“三公”经费财政拨款支出决算中，因公出国（境）费支出决算0万元；公务用车购置及运行维护费支出决算1.76万元，占73.33%；公务接待费支出决算0.64万元，占26.67%。具体情况如下：</w:t>
      </w:r>
    </w:p>
    <w:p>
      <w:pPr>
        <w:pStyle w:val="23"/>
        <w:ind w:left="0" w:leftChars="0" w:firstLine="0" w:firstLineChars="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drawing>
          <wp:inline distT="0" distB="0" distL="114300" distR="114300">
            <wp:extent cx="4064635" cy="2389505"/>
            <wp:effectExtent l="4445" t="4445" r="7620" b="63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1292" w:firstLineChars="404"/>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21"/>
          <w:rFonts w:hint="eastAsia" w:ascii="仿宋" w:hAnsi="仿宋" w:eastAsia="仿宋"/>
          <w:b w:val="0"/>
          <w:bCs/>
          <w:color w:val="000000"/>
          <w:sz w:val="32"/>
          <w:szCs w:val="32"/>
        </w:rPr>
        <w:t>。</w:t>
      </w:r>
    </w:p>
    <w:p>
      <w:pPr>
        <w:spacing w:line="600" w:lineRule="exact"/>
        <w:ind w:firstLine="640"/>
        <w:rPr>
          <w:rFonts w:hint="eastAsia" w:ascii="仿宋_GB2312" w:hAnsi="仿宋_GB2312" w:eastAsia="仿宋_GB2312" w:cs="仿宋_GB2312"/>
          <w:snapToGrid w:val="0"/>
          <w:color w:val="000000"/>
          <w:spacing w:val="0"/>
          <w:w w:val="100"/>
          <w:kern w:val="0"/>
          <w:sz w:val="32"/>
          <w:szCs w:val="32"/>
          <w:lang w:val="en-US" w:eastAsia="zh-CN" w:bidi="ar-SA"/>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1.76万元</w:t>
      </w:r>
      <w:r>
        <w:rPr>
          <w:rFonts w:ascii="仿宋_GB2312" w:eastAsia="仿宋_GB2312"/>
          <w:color w:val="000000"/>
          <w:sz w:val="32"/>
          <w:szCs w:val="32"/>
        </w:rPr>
        <w:t>,</w:t>
      </w:r>
      <w:r>
        <w:rPr>
          <w:rStyle w:val="21"/>
          <w:rFonts w:hint="eastAsia" w:ascii="仿宋" w:hAnsi="仿宋" w:eastAsia="仿宋"/>
          <w:b w:val="0"/>
          <w:bCs/>
          <w:color w:val="000000"/>
          <w:sz w:val="32"/>
          <w:szCs w:val="32"/>
        </w:rPr>
        <w:t>完成预算</w:t>
      </w:r>
      <w:r>
        <w:rPr>
          <w:rFonts w:hint="eastAsia" w:ascii="仿宋_GB2312" w:hAnsi="仿宋_GB2312" w:eastAsia="仿宋_GB2312" w:cs="仿宋_GB2312"/>
          <w:snapToGrid w:val="0"/>
          <w:color w:val="000000"/>
          <w:spacing w:val="0"/>
          <w:w w:val="100"/>
          <w:kern w:val="0"/>
          <w:sz w:val="32"/>
          <w:szCs w:val="32"/>
          <w:lang w:val="en-US" w:eastAsia="zh-CN" w:bidi="ar-SA"/>
        </w:rPr>
        <w:t>100%。公务用车购置及运行维护费支出决算比2020年减少91.9万元，下降98.12%。主要原因是2020当年存在公务用车购置经费，且2020年针对除开日常公用经费的公务员用车之外还包括专项转移支付中的公务用车运行维护费。</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1.76万元。主要用于</w:t>
      </w:r>
      <w:r>
        <w:rPr>
          <w:rFonts w:hint="eastAsia" w:ascii="仿宋_GB2312" w:eastAsia="仿宋_GB2312"/>
          <w:color w:val="000000"/>
          <w:sz w:val="32"/>
          <w:szCs w:val="32"/>
          <w:lang w:val="en-US" w:eastAsia="zh-CN"/>
        </w:rPr>
        <w:t>单位日</w:t>
      </w:r>
      <w:r>
        <w:rPr>
          <w:rFonts w:hint="eastAsia" w:ascii="仿宋_GB2312" w:hAnsi="仿宋_GB2312" w:eastAsia="仿宋_GB2312" w:cs="仿宋_GB2312"/>
          <w:snapToGrid w:val="0"/>
          <w:color w:val="000000"/>
          <w:spacing w:val="0"/>
          <w:w w:val="100"/>
          <w:kern w:val="0"/>
          <w:sz w:val="32"/>
          <w:szCs w:val="32"/>
          <w:lang w:val="en-US" w:eastAsia="zh-CN" w:bidi="ar-SA"/>
        </w:rPr>
        <w:t>常支出等所需的公务用车燃料费、维修费、过路过桥费、保险费等支出。</w:t>
      </w:r>
    </w:p>
    <w:p>
      <w:pPr>
        <w:spacing w:line="600" w:lineRule="exact"/>
        <w:ind w:firstLine="640"/>
        <w:rPr>
          <w:rFonts w:hint="eastAsia" w:ascii="仿宋_GB2312" w:hAnsi="仿宋_GB2312" w:eastAsia="仿宋_GB2312" w:cs="仿宋_GB2312"/>
          <w:snapToGrid w:val="0"/>
          <w:color w:val="000000"/>
          <w:spacing w:val="0"/>
          <w:w w:val="100"/>
          <w:kern w:val="0"/>
          <w:sz w:val="32"/>
          <w:szCs w:val="32"/>
          <w:lang w:val="en-US" w:eastAsia="zh-CN" w:bidi="ar-SA"/>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0.64万元，</w:t>
      </w:r>
      <w:r>
        <w:rPr>
          <w:rStyle w:val="21"/>
          <w:rFonts w:hint="eastAsia" w:ascii="仿宋" w:hAnsi="仿宋" w:eastAsia="仿宋"/>
          <w:b w:val="0"/>
          <w:bCs/>
          <w:color w:val="000000"/>
          <w:sz w:val="32"/>
          <w:szCs w:val="32"/>
        </w:rPr>
        <w:t>完成预算</w:t>
      </w:r>
      <w:r>
        <w:rPr>
          <w:rStyle w:val="21"/>
          <w:rFonts w:hint="eastAsia" w:ascii="仿宋" w:hAnsi="仿宋" w:eastAsia="仿宋"/>
          <w:b w:val="0"/>
          <w:bCs/>
          <w:color w:val="000000"/>
          <w:sz w:val="32"/>
          <w:szCs w:val="32"/>
          <w:lang w:val="en-US" w:eastAsia="zh-CN"/>
        </w:rPr>
        <w:t>100.00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r>
        <w:rPr>
          <w:rFonts w:hint="eastAsia" w:ascii="仿宋_GB2312" w:eastAsia="仿宋_GB2312"/>
          <w:color w:val="000000"/>
          <w:sz w:val="32"/>
          <w:szCs w:val="32"/>
        </w:rPr>
        <w:t>公务</w:t>
      </w:r>
      <w:r>
        <w:rPr>
          <w:rFonts w:hint="eastAsia" w:ascii="仿宋_GB2312" w:hAnsi="仿宋_GB2312" w:eastAsia="仿宋_GB2312" w:cs="仿宋_GB2312"/>
          <w:snapToGrid w:val="0"/>
          <w:color w:val="000000"/>
          <w:spacing w:val="0"/>
          <w:w w:val="100"/>
          <w:kern w:val="0"/>
          <w:sz w:val="32"/>
          <w:szCs w:val="32"/>
          <w:lang w:val="en-US" w:eastAsia="zh-CN" w:bidi="ar-SA"/>
        </w:rPr>
        <w:t>接待费支出决算比2020年减少0.15万元，下降18.99%。主要原因是单位厉行节约。其中：</w:t>
      </w:r>
    </w:p>
    <w:p>
      <w:pPr>
        <w:spacing w:line="600" w:lineRule="exact"/>
        <w:ind w:firstLine="64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 w:hAnsi="仿宋" w:eastAsia="仿宋"/>
          <w:b/>
          <w:color w:val="000000"/>
          <w:sz w:val="32"/>
          <w:szCs w:val="32"/>
        </w:rPr>
        <w:t>国内公务接待支出</w:t>
      </w:r>
      <w:r>
        <w:rPr>
          <w:rFonts w:hint="eastAsia" w:ascii="仿宋_GB2312" w:eastAsia="仿宋_GB2312"/>
          <w:color w:val="000000"/>
          <w:sz w:val="32"/>
          <w:szCs w:val="32"/>
        </w:rPr>
        <w:t>0.64万元，主要用于执行公务</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住</w:t>
      </w:r>
      <w:r>
        <w:rPr>
          <w:rFonts w:hint="eastAsia" w:ascii="仿宋_GB2312" w:hAnsi="仿宋_GB2312" w:eastAsia="仿宋_GB2312" w:cs="仿宋_GB2312"/>
          <w:snapToGrid w:val="0"/>
          <w:color w:val="000000"/>
          <w:spacing w:val="0"/>
          <w:w w:val="100"/>
          <w:kern w:val="0"/>
          <w:sz w:val="32"/>
          <w:szCs w:val="32"/>
          <w:lang w:val="en-US" w:eastAsia="zh-CN" w:bidi="ar-SA"/>
        </w:rPr>
        <w:t>宿费、用餐费等)。国内公务接待7批次，44人次（不包括陪同人员），共计支出0.64万元。</w:t>
      </w:r>
    </w:p>
    <w:p>
      <w:pPr>
        <w:spacing w:line="600" w:lineRule="exact"/>
        <w:ind w:firstLine="640"/>
        <w:rPr>
          <w:rFonts w:hint="eastAsia" w:ascii="仿宋_GB2312" w:hAnsi="仿宋_GB2312" w:eastAsia="仿宋_GB2312" w:cs="仿宋_GB2312"/>
          <w:snapToGrid w:val="0"/>
          <w:color w:val="000000"/>
          <w:spacing w:val="0"/>
          <w:w w:val="100"/>
          <w:kern w:val="0"/>
          <w:sz w:val="32"/>
          <w:szCs w:val="32"/>
          <w:lang w:val="en-US" w:eastAsia="zh-CN" w:bidi="ar-SA"/>
        </w:rPr>
      </w:pPr>
    </w:p>
    <w:p>
      <w:pPr>
        <w:spacing w:line="600" w:lineRule="exact"/>
        <w:ind w:firstLine="640"/>
        <w:outlineLvl w:val="1"/>
        <w:rPr>
          <w:rStyle w:val="25"/>
          <w:rFonts w:ascii="黑体" w:hAnsi="黑体" w:eastAsia="黑体"/>
        </w:rPr>
      </w:pPr>
      <w:bookmarkStart w:id="87" w:name="_Toc79163622"/>
      <w:bookmarkStart w:id="88" w:name="_Toc15377218"/>
      <w:bookmarkStart w:id="89" w:name="_Toc15396610"/>
      <w:bookmarkStart w:id="90" w:name="_Toc19393"/>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87"/>
      <w:bookmarkEnd w:id="88"/>
      <w:bookmarkEnd w:id="89"/>
      <w:bookmarkEnd w:id="90"/>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2021年政府性基金预算拨款支出0万元。</w:t>
      </w:r>
    </w:p>
    <w:p>
      <w:pPr>
        <w:spacing w:line="600" w:lineRule="exact"/>
        <w:ind w:firstLine="640"/>
        <w:rPr>
          <w:rFonts w:hint="eastAsia" w:ascii="仿宋_GB2312" w:hAnsi="仿宋_GB2312" w:eastAsia="仿宋_GB2312" w:cs="仿宋_GB2312"/>
          <w:snapToGrid w:val="0"/>
          <w:color w:val="000000"/>
          <w:spacing w:val="0"/>
          <w:w w:val="100"/>
          <w:kern w:val="0"/>
          <w:sz w:val="32"/>
          <w:szCs w:val="32"/>
          <w:lang w:val="en-US" w:eastAsia="zh-CN" w:bidi="ar-SA"/>
        </w:rPr>
      </w:pPr>
    </w:p>
    <w:p>
      <w:pPr>
        <w:numPr>
          <w:ilvl w:val="0"/>
          <w:numId w:val="2"/>
        </w:numPr>
        <w:spacing w:line="600" w:lineRule="exact"/>
        <w:ind w:firstLine="640"/>
        <w:outlineLvl w:val="1"/>
        <w:rPr>
          <w:rStyle w:val="25"/>
          <w:rFonts w:ascii="黑体" w:hAnsi="黑体" w:eastAsia="黑体"/>
          <w:b w:val="0"/>
        </w:rPr>
      </w:pPr>
      <w:bookmarkStart w:id="91" w:name="_Toc25076"/>
      <w:bookmarkStart w:id="92" w:name="_Toc79163623"/>
      <w:bookmarkStart w:id="93" w:name="_Toc15396611"/>
      <w:bookmarkStart w:id="94" w:name="_Toc15377219"/>
      <w:r>
        <w:rPr>
          <w:rStyle w:val="25"/>
          <w:rFonts w:hint="eastAsia" w:ascii="黑体" w:hAnsi="黑体" w:eastAsia="黑体"/>
          <w:b w:val="0"/>
        </w:rPr>
        <w:t>国有资本经营预算支出决算情况说明</w:t>
      </w:r>
      <w:bookmarkEnd w:id="91"/>
      <w:bookmarkEnd w:id="92"/>
      <w:bookmarkEnd w:id="93"/>
      <w:bookmarkEnd w:id="94"/>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napToGrid w:val="0"/>
          <w:color w:val="000000"/>
          <w:spacing w:val="0"/>
          <w:w w:val="100"/>
          <w:kern w:val="0"/>
          <w:sz w:val="32"/>
          <w:szCs w:val="32"/>
          <w:lang w:val="en-US" w:eastAsia="zh-CN" w:bidi="ar-SA"/>
        </w:rPr>
      </w:pPr>
      <w:r>
        <w:rPr>
          <w:rFonts w:hint="eastAsia" w:ascii="仿宋_GB2312" w:hAnsi="仿宋_GB2312" w:eastAsia="仿宋_GB2312" w:cs="仿宋_GB2312"/>
          <w:snapToGrid w:val="0"/>
          <w:color w:val="000000"/>
          <w:spacing w:val="0"/>
          <w:w w:val="100"/>
          <w:kern w:val="0"/>
          <w:sz w:val="32"/>
          <w:szCs w:val="32"/>
          <w:lang w:val="en-US" w:eastAsia="zh-CN" w:bidi="ar-SA"/>
        </w:rPr>
        <w:t>2021年国有资本经营预算拨款支出0万元。</w:t>
      </w:r>
    </w:p>
    <w:p>
      <w:pPr>
        <w:spacing w:line="600" w:lineRule="exact"/>
        <w:ind w:firstLine="640"/>
        <w:rPr>
          <w:rFonts w:hint="eastAsia" w:ascii="仿宋_GB2312" w:hAnsi="仿宋_GB2312" w:eastAsia="仿宋_GB2312" w:cs="仿宋_GB2312"/>
          <w:snapToGrid w:val="0"/>
          <w:color w:val="000000"/>
          <w:spacing w:val="0"/>
          <w:w w:val="100"/>
          <w:kern w:val="0"/>
          <w:sz w:val="32"/>
          <w:szCs w:val="32"/>
          <w:lang w:val="en-US" w:eastAsia="zh-CN" w:bidi="ar-SA"/>
        </w:rPr>
      </w:pPr>
    </w:p>
    <w:p>
      <w:pPr>
        <w:spacing w:line="600" w:lineRule="exact"/>
        <w:ind w:firstLine="800" w:firstLineChars="250"/>
        <w:outlineLvl w:val="1"/>
        <w:rPr>
          <w:rStyle w:val="25"/>
          <w:rFonts w:ascii="黑体" w:hAnsi="黑体" w:eastAsia="黑体"/>
        </w:rPr>
      </w:pPr>
      <w:bookmarkStart w:id="95" w:name="_Toc15377221"/>
      <w:bookmarkStart w:id="96" w:name="_Toc7656"/>
      <w:bookmarkStart w:id="97" w:name="_Toc15396612"/>
      <w:bookmarkStart w:id="98" w:name="_Toc79163624"/>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95"/>
      <w:bookmarkEnd w:id="96"/>
      <w:bookmarkEnd w:id="97"/>
      <w:bookmarkEnd w:id="98"/>
    </w:p>
    <w:p>
      <w:pPr>
        <w:spacing w:line="600" w:lineRule="exact"/>
        <w:ind w:firstLine="643" w:firstLineChars="200"/>
        <w:outlineLvl w:val="2"/>
        <w:rPr>
          <w:rFonts w:ascii="仿宋" w:hAnsi="仿宋" w:eastAsia="仿宋"/>
          <w:color w:val="000000"/>
          <w:sz w:val="32"/>
          <w:szCs w:val="32"/>
        </w:rPr>
      </w:pPr>
      <w:bookmarkStart w:id="99" w:name="_Toc15377222"/>
      <w:bookmarkStart w:id="100" w:name="_Toc1810"/>
      <w:bookmarkStart w:id="101" w:name="_Toc79163625"/>
      <w:r>
        <w:rPr>
          <w:rFonts w:hint="eastAsia" w:ascii="仿宋" w:hAnsi="仿宋" w:eastAsia="仿宋"/>
          <w:b/>
          <w:color w:val="000000"/>
          <w:sz w:val="32"/>
          <w:szCs w:val="32"/>
        </w:rPr>
        <w:t>（一）机关运行经费支出情况</w:t>
      </w:r>
      <w:bookmarkEnd w:id="99"/>
      <w:bookmarkEnd w:id="100"/>
      <w:bookmarkEnd w:id="101"/>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202</w:t>
      </w:r>
      <w:r>
        <w:rPr>
          <w:rFonts w:hint="eastAsia" w:ascii="仿宋_GB2312" w:eastAsia="仿宋_GB2312"/>
          <w:color w:val="000000"/>
          <w:sz w:val="32"/>
          <w:szCs w:val="32"/>
        </w:rPr>
        <w:t>1年，</w:t>
      </w:r>
      <w:r>
        <w:rPr>
          <w:rFonts w:hint="eastAsia" w:ascii="仿宋_GB2312" w:eastAsia="仿宋_GB2312"/>
          <w:color w:val="000000"/>
          <w:sz w:val="32"/>
          <w:szCs w:val="32"/>
          <w:lang w:val="en-US" w:eastAsia="zh-CN"/>
        </w:rPr>
        <w:t>壤塘县人民检察院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37.88</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rPr>
        <w:t>20年减少</w:t>
      </w:r>
      <w:r>
        <w:rPr>
          <w:rFonts w:hint="eastAsia" w:ascii="仿宋_GB2312" w:eastAsia="仿宋_GB2312"/>
          <w:color w:val="000000"/>
          <w:sz w:val="32"/>
          <w:szCs w:val="32"/>
          <w:lang w:val="en-US" w:eastAsia="zh-CN"/>
        </w:rPr>
        <w:t>3.35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8.13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单位厉行节约</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02" w:name="_Toc79163626"/>
      <w:bookmarkStart w:id="103" w:name="_Toc15377223"/>
      <w:bookmarkStart w:id="104" w:name="_Toc27254"/>
      <w:r>
        <w:rPr>
          <w:rFonts w:hint="eastAsia" w:ascii="仿宋" w:hAnsi="仿宋" w:eastAsia="仿宋"/>
          <w:b/>
          <w:color w:val="000000"/>
          <w:sz w:val="32"/>
          <w:szCs w:val="32"/>
        </w:rPr>
        <w:t>（二）政府采购支出情况</w:t>
      </w:r>
      <w:bookmarkEnd w:id="102"/>
      <w:bookmarkEnd w:id="103"/>
      <w:bookmarkEnd w:id="10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w:t>
      </w:r>
      <w:r>
        <w:rPr>
          <w:rFonts w:hint="eastAsia" w:ascii="仿宋_GB2312" w:eastAsia="仿宋_GB2312"/>
          <w:color w:val="000000"/>
          <w:sz w:val="32"/>
          <w:szCs w:val="32"/>
          <w:lang w:val="en-US" w:eastAsia="zh-CN"/>
        </w:rPr>
        <w:t>壤塘县人民检察院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05" w:name="_Toc16852"/>
      <w:bookmarkStart w:id="106" w:name="_Toc15377224"/>
      <w:bookmarkStart w:id="107" w:name="_Toc79163627"/>
      <w:r>
        <w:rPr>
          <w:rFonts w:hint="eastAsia" w:ascii="仿宋" w:hAnsi="仿宋" w:eastAsia="仿宋"/>
          <w:b/>
          <w:color w:val="000000"/>
          <w:sz w:val="32"/>
          <w:szCs w:val="32"/>
        </w:rPr>
        <w:t>（三）国有资产占有使用情况</w:t>
      </w:r>
      <w:bookmarkEnd w:id="105"/>
      <w:bookmarkEnd w:id="106"/>
      <w:bookmarkEnd w:id="107"/>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壤塘县人民检察院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辆，其中：</w:t>
      </w:r>
      <w:r>
        <w:rPr>
          <w:rFonts w:hint="eastAsia" w:ascii="仿宋_GB2312" w:eastAsia="仿宋_GB2312"/>
          <w:color w:val="000000"/>
          <w:sz w:val="32"/>
          <w:szCs w:val="32"/>
          <w:lang w:val="en-US" w:eastAsia="zh-CN"/>
        </w:rPr>
        <w:t>执法执勤</w:t>
      </w:r>
      <w:r>
        <w:rPr>
          <w:rFonts w:hint="eastAsia" w:ascii="仿宋_GB2312" w:eastAsia="仿宋_GB2312"/>
          <w:color w:val="000000"/>
          <w:sz w:val="32"/>
          <w:szCs w:val="32"/>
        </w:rPr>
        <w:t>用车</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特种专业技术用车1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08" w:name="_Toc79163628"/>
      <w:bookmarkStart w:id="109" w:name="_Toc23691"/>
      <w:r>
        <w:rPr>
          <w:rFonts w:hint="eastAsia" w:ascii="仿宋" w:hAnsi="仿宋" w:eastAsia="仿宋"/>
          <w:b/>
          <w:color w:val="000000"/>
          <w:sz w:val="32"/>
          <w:szCs w:val="32"/>
        </w:rPr>
        <w:t>（四）预算绩效管理情况。</w:t>
      </w:r>
      <w:bookmarkEnd w:id="108"/>
      <w:bookmarkEnd w:id="109"/>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1年部门整体支出开展绩效自评，从评价情况来看</w:t>
      </w:r>
      <w:r>
        <w:rPr>
          <w:rFonts w:hint="eastAsia" w:ascii="仿宋_GB2312" w:hAnsi="仿宋_GB2312" w:eastAsia="仿宋_GB2312" w:cs="仿宋_GB2312"/>
          <w:sz w:val="32"/>
          <w:szCs w:val="32"/>
          <w:lang w:val="en-US" w:eastAsia="zh-CN"/>
        </w:rPr>
        <w:t>2021年检察院整体运行情况较好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val="en-US" w:eastAsia="zh-CN"/>
        </w:rPr>
        <w:t>2021年单位项目绩效运行完成情况较差，资金支付进度不到位</w:t>
      </w:r>
      <w:r>
        <w:rPr>
          <w:rFonts w:hint="eastAsia" w:ascii="仿宋_GB2312" w:hAnsi="仿宋_GB2312" w:eastAsia="仿宋_GB2312" w:cs="仿宋_GB2312"/>
          <w:sz w:val="32"/>
          <w:szCs w:val="32"/>
        </w:rPr>
        <w:t>。</w:t>
      </w:r>
    </w:p>
    <w:p>
      <w:pPr>
        <w:spacing w:line="58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pStyle w:val="2"/>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w:t>
      </w:r>
      <w:r>
        <w:rPr>
          <w:rFonts w:hint="eastAsia" w:hAnsi="仿宋_GB2312" w:cs="仿宋_GB2312"/>
          <w:kern w:val="2"/>
          <w:sz w:val="32"/>
          <w:szCs w:val="32"/>
          <w:lang w:val="en-US" w:eastAsia="zh-CN" w:bidi="ar-SA"/>
        </w:rPr>
        <w:t>我院未开展项目绩效自评工作。</w:t>
      </w: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1年部门整体支出绩效评价情况开展自评，《</w:t>
      </w:r>
      <w:r>
        <w:rPr>
          <w:rFonts w:hint="eastAsia" w:ascii="仿宋_GB2312" w:hAnsi="仿宋_GB2312" w:eastAsia="仿宋_GB2312" w:cs="仿宋_GB2312"/>
          <w:sz w:val="32"/>
          <w:szCs w:val="32"/>
          <w:lang w:val="en-US" w:eastAsia="zh-CN"/>
        </w:rPr>
        <w:t>壤塘县人民检察院</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110" w:name="_Toc15396613"/>
      <w:bookmarkStart w:id="111" w:name="_Toc15377225"/>
      <w:bookmarkStart w:id="112" w:name="_Toc79163629"/>
      <w:bookmarkStart w:id="113" w:name="_Toc31141"/>
      <w:r>
        <w:rPr>
          <w:rFonts w:hint="eastAsia" w:ascii="黑体" w:hAnsi="黑体" w:eastAsia="黑体"/>
          <w:color w:val="000000"/>
          <w:sz w:val="44"/>
          <w:szCs w:val="44"/>
        </w:rPr>
        <w:t>名</w:t>
      </w:r>
      <w:r>
        <w:rPr>
          <w:rStyle w:val="24"/>
          <w:rFonts w:hint="eastAsia" w:ascii="黑体" w:hAnsi="黑体" w:eastAsia="黑体"/>
          <w:b w:val="0"/>
        </w:rPr>
        <w:t>词解释</w:t>
      </w:r>
      <w:bookmarkEnd w:id="110"/>
      <w:bookmarkEnd w:id="111"/>
      <w:bookmarkEnd w:id="112"/>
      <w:bookmarkEnd w:id="113"/>
    </w:p>
    <w:p>
      <w:pPr>
        <w:spacing w:line="600" w:lineRule="exact"/>
        <w:jc w:val="left"/>
        <w:rPr>
          <w:rFonts w:ascii="宋体"/>
          <w:b/>
          <w:color w:val="000000"/>
          <w:sz w:val="44"/>
          <w:szCs w:val="44"/>
        </w:rPr>
      </w:pPr>
    </w:p>
    <w:p>
      <w:pPr>
        <w:pStyle w:val="18"/>
        <w:keepNext w:val="0"/>
        <w:keepLines w:val="0"/>
        <w:pageBreakBefore w:val="0"/>
        <w:widowControl/>
        <w:numPr>
          <w:ilvl w:val="0"/>
          <w:numId w:val="0"/>
        </w:numPr>
        <w:suppressLineNumbers w:val="0"/>
        <w:kinsoku/>
        <w:wordWrap/>
        <w:overflowPunct/>
        <w:topLinePunct w:val="0"/>
        <w:bidi w:val="0"/>
        <w:spacing w:before="300" w:beforeAutospacing="0" w:after="0" w:afterAutospacing="0" w:line="560" w:lineRule="exact"/>
        <w:ind w:right="0" w:rightChars="0" w:firstLine="640" w:firstLineChars="200"/>
        <w:jc w:val="left"/>
        <w:textAlignment w:val="auto"/>
        <w:rPr>
          <w:rFonts w:hint="eastAsia" w:ascii="仿宋_GB2312" w:eastAsia="仿宋_GB2312"/>
          <w:sz w:val="32"/>
          <w:szCs w:val="32"/>
        </w:rPr>
      </w:pPr>
      <w:bookmarkStart w:id="114" w:name="_Toc79163630"/>
      <w:bookmarkStart w:id="115" w:name="_Toc15396614"/>
      <w:bookmarkStart w:id="116" w:name="_Toc15377226"/>
      <w:r>
        <w:rPr>
          <w:rFonts w:hint="eastAsia" w:ascii="仿宋_GB2312" w:eastAsia="仿宋_GB2312"/>
          <w:sz w:val="32"/>
          <w:szCs w:val="32"/>
          <w:lang w:val="en-US" w:eastAsia="zh-CN"/>
        </w:rPr>
        <w:t>1.</w:t>
      </w:r>
      <w:r>
        <w:rPr>
          <w:rFonts w:hint="eastAsia" w:ascii="仿宋_GB2312" w:eastAsia="仿宋_GB2312"/>
          <w:sz w:val="32"/>
          <w:szCs w:val="32"/>
        </w:rPr>
        <w:t>财政拨款收入：指由财政拨款形成的部门收入。按现行管理制度,部门预算中反映的财政拨款仅包括一般公共预算拨款和政府性基金预算拨款。</w:t>
      </w:r>
      <w:r>
        <w:rPr>
          <w:rFonts w:hint="eastAsia" w:ascii="仿宋_GB2312" w:eastAsia="仿宋_GB2312"/>
          <w:sz w:val="32"/>
          <w:szCs w:val="32"/>
          <w:lang w:val="en-US" w:eastAsia="zh-CN"/>
        </w:rPr>
        <w:t xml:space="preserve"> </w:t>
      </w:r>
    </w:p>
    <w:p>
      <w:pPr>
        <w:pStyle w:val="34"/>
        <w:pageBreakBefore w:val="0"/>
        <w:kinsoku/>
        <w:wordWrap/>
        <w:overflowPunct/>
        <w:topLinePunct w:val="0"/>
        <w:bidi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2.其他收入：指除“财政拨款收入”“事业收入”</w:t>
      </w:r>
      <w:r>
        <w:rPr>
          <w:rFonts w:hint="eastAsia" w:ascii="仿宋_GB2312" w:eastAsia="仿宋_GB2312"/>
          <w:sz w:val="32"/>
          <w:szCs w:val="32"/>
        </w:rPr>
        <w:t>“事业单位经营收入”等以外的收入,主要是所属行政事业单位按规定动用的售房收入、存款利息收入等。</w:t>
      </w:r>
    </w:p>
    <w:p>
      <w:pPr>
        <w:pStyle w:val="34"/>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34"/>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年末结转和结余：指单位按有关规定结转到下年或以后年</w:t>
      </w:r>
      <w:r>
        <w:rPr>
          <w:rFonts w:hint="eastAsia" w:ascii="仿宋_GB2312" w:hAnsi="Times New Roman" w:eastAsia="仿宋_GB2312" w:cs="Times New Roman"/>
          <w:color w:val="auto"/>
          <w:kern w:val="0"/>
          <w:sz w:val="32"/>
          <w:szCs w:val="32"/>
          <w:lang w:val="en-US" w:eastAsia="zh-CN" w:bidi="ar"/>
        </w:rPr>
        <w:t>度继续使用的资金。</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5</w:t>
      </w:r>
      <w:r>
        <w:rPr>
          <w:rFonts w:hint="eastAsia" w:ascii="仿宋_GB2312" w:hAnsi="Times New Roman" w:eastAsia="仿宋_GB2312" w:cs="Times New Roman"/>
          <w:color w:val="auto"/>
          <w:kern w:val="0"/>
          <w:sz w:val="32"/>
          <w:szCs w:val="32"/>
          <w:lang w:val="en-US" w:eastAsia="zh-CN" w:bidi="ar"/>
        </w:rPr>
        <w:t>.公共安全支出（204）检察（04）行政运行（01）：指</w:t>
      </w:r>
      <w:r>
        <w:rPr>
          <w:rFonts w:hint="eastAsia" w:ascii="仿宋_GB2312" w:eastAsia="仿宋_GB2312" w:cs="Times New Roman"/>
          <w:color w:val="auto"/>
          <w:kern w:val="0"/>
          <w:sz w:val="32"/>
          <w:szCs w:val="32"/>
          <w:lang w:val="en-US" w:eastAsia="zh-CN" w:bidi="ar"/>
        </w:rPr>
        <w:t>行政单位（包括实行公务员管理的事业单位）的基本支出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6</w:t>
      </w:r>
      <w:r>
        <w:rPr>
          <w:rFonts w:hint="eastAsia" w:ascii="仿宋_GB2312" w:hAnsi="Times New Roman" w:eastAsia="仿宋_GB2312" w:cs="Times New Roman"/>
          <w:color w:val="auto"/>
          <w:kern w:val="0"/>
          <w:sz w:val="32"/>
          <w:szCs w:val="32"/>
          <w:lang w:val="en-US" w:eastAsia="zh-CN" w:bidi="ar"/>
        </w:rPr>
        <w:t>.公共安全支出（204）检察（04）一般行政管理事务（02）：指</w:t>
      </w:r>
      <w:r>
        <w:rPr>
          <w:rFonts w:hint="eastAsia" w:ascii="仿宋_GB2312" w:eastAsia="仿宋_GB2312" w:cs="Times New Roman"/>
          <w:color w:val="auto"/>
          <w:kern w:val="0"/>
          <w:sz w:val="32"/>
          <w:szCs w:val="32"/>
          <w:lang w:val="en-US" w:eastAsia="zh-CN" w:bidi="ar"/>
        </w:rPr>
        <w:t>行政单位（包括实行公务员管理的事业单位）未独立设置项级科目的其他项目支出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7</w:t>
      </w:r>
      <w:r>
        <w:rPr>
          <w:rFonts w:hint="eastAsia" w:ascii="仿宋_GB2312" w:hAnsi="Times New Roman" w:eastAsia="仿宋_GB2312" w:cs="Times New Roman"/>
          <w:color w:val="auto"/>
          <w:kern w:val="0"/>
          <w:sz w:val="32"/>
          <w:szCs w:val="32"/>
          <w:lang w:val="en-US" w:eastAsia="zh-CN" w:bidi="ar"/>
        </w:rPr>
        <w:t>.公共安全支出（204）检察（04）其他检察支出（99）：指</w:t>
      </w:r>
      <w:r>
        <w:rPr>
          <w:rFonts w:hint="eastAsia" w:ascii="仿宋_GB2312" w:eastAsia="仿宋_GB2312" w:cs="Times New Roman"/>
          <w:color w:val="auto"/>
          <w:kern w:val="0"/>
          <w:sz w:val="32"/>
          <w:szCs w:val="32"/>
          <w:lang w:val="en-US" w:eastAsia="zh-CN" w:bidi="ar"/>
        </w:rPr>
        <w:t>其他用于检察方面的支出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8</w:t>
      </w:r>
      <w:r>
        <w:rPr>
          <w:rFonts w:hint="eastAsia" w:ascii="仿宋_GB2312" w:hAnsi="Times New Roman" w:eastAsia="仿宋_GB2312" w:cs="Times New Roman"/>
          <w:color w:val="auto"/>
          <w:kern w:val="0"/>
          <w:sz w:val="32"/>
          <w:szCs w:val="32"/>
          <w:lang w:val="en-US" w:eastAsia="zh-CN" w:bidi="ar"/>
        </w:rPr>
        <w:t>.公共安全支出（204）司法（06）法律援助（07）：指</w:t>
      </w:r>
      <w:r>
        <w:rPr>
          <w:rFonts w:hint="eastAsia" w:ascii="仿宋_GB2312" w:eastAsia="仿宋_GB2312" w:cs="Times New Roman"/>
          <w:color w:val="auto"/>
          <w:kern w:val="0"/>
          <w:sz w:val="32"/>
          <w:szCs w:val="32"/>
          <w:lang w:val="en-US" w:eastAsia="zh-CN" w:bidi="ar"/>
        </w:rPr>
        <w:t>各级法律援助机构用于开展法律援助工作的支出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9</w:t>
      </w:r>
      <w:r>
        <w:rPr>
          <w:rFonts w:hint="eastAsia" w:ascii="仿宋_GB2312" w:hAnsi="Times New Roman" w:eastAsia="仿宋_GB2312" w:cs="Times New Roman"/>
          <w:color w:val="auto"/>
          <w:kern w:val="0"/>
          <w:sz w:val="32"/>
          <w:szCs w:val="32"/>
          <w:lang w:val="en-US" w:eastAsia="zh-CN" w:bidi="ar"/>
        </w:rPr>
        <w:t>.社会保障和就业支出（208）行政事业单位离退休（05）机关事业单位基本养老保险缴费支出（05）：指</w:t>
      </w:r>
      <w:r>
        <w:rPr>
          <w:rFonts w:hint="eastAsia" w:ascii="仿宋_GB2312" w:eastAsia="仿宋_GB2312" w:cs="Times New Roman"/>
          <w:color w:val="auto"/>
          <w:kern w:val="0"/>
          <w:sz w:val="32"/>
          <w:szCs w:val="32"/>
          <w:lang w:val="en-US" w:eastAsia="zh-CN" w:bidi="ar"/>
        </w:rPr>
        <w:t>机关事业单位实施养老保险制度由单位缴纳的基本养老保险支出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10</w:t>
      </w:r>
      <w:r>
        <w:rPr>
          <w:rFonts w:hint="eastAsia" w:ascii="仿宋_GB2312" w:hAnsi="Times New Roman" w:eastAsia="仿宋_GB2312" w:cs="Times New Roman"/>
          <w:color w:val="auto"/>
          <w:kern w:val="0"/>
          <w:sz w:val="32"/>
          <w:szCs w:val="32"/>
          <w:lang w:val="en-US" w:eastAsia="zh-CN" w:bidi="ar"/>
        </w:rPr>
        <w:t>.社会保障和就业支出（208）行政事业单位离退休（05）机关事业单位职业年金缴费支出（06）：指</w:t>
      </w:r>
      <w:r>
        <w:rPr>
          <w:rFonts w:hint="eastAsia" w:ascii="仿宋_GB2312" w:eastAsia="仿宋_GB2312" w:cs="Times New Roman"/>
          <w:color w:val="auto"/>
          <w:kern w:val="0"/>
          <w:sz w:val="32"/>
          <w:szCs w:val="32"/>
          <w:lang w:val="en-US" w:eastAsia="zh-CN" w:bidi="ar"/>
        </w:rPr>
        <w:t>机关事业单位实施养老保险制度由单位实际缴纳的职业年金支出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11</w:t>
      </w:r>
      <w:r>
        <w:rPr>
          <w:rFonts w:hint="eastAsia" w:ascii="仿宋_GB2312" w:hAnsi="Times New Roman" w:eastAsia="仿宋_GB2312" w:cs="Times New Roman"/>
          <w:color w:val="auto"/>
          <w:kern w:val="0"/>
          <w:sz w:val="32"/>
          <w:szCs w:val="32"/>
          <w:lang w:val="en-US" w:eastAsia="zh-CN" w:bidi="ar"/>
        </w:rPr>
        <w:t>.</w:t>
      </w:r>
      <w:r>
        <w:rPr>
          <w:rFonts w:hint="eastAsia" w:ascii="仿宋_GB2312" w:eastAsia="仿宋_GB2312" w:cs="Times New Roman"/>
          <w:color w:val="auto"/>
          <w:kern w:val="0"/>
          <w:sz w:val="32"/>
          <w:szCs w:val="32"/>
          <w:lang w:val="en-US" w:eastAsia="zh-CN" w:bidi="ar"/>
        </w:rPr>
        <w:t>卫生健康</w:t>
      </w:r>
      <w:r>
        <w:rPr>
          <w:rFonts w:hint="eastAsia" w:ascii="仿宋_GB2312" w:hAnsi="Times New Roman" w:eastAsia="仿宋_GB2312" w:cs="Times New Roman"/>
          <w:color w:val="auto"/>
          <w:kern w:val="0"/>
          <w:sz w:val="32"/>
          <w:szCs w:val="32"/>
          <w:lang w:val="en-US" w:eastAsia="zh-CN" w:bidi="ar"/>
        </w:rPr>
        <w:t>支出（210）行政事业单位医疗（11）行政单位医疗（01）：指</w:t>
      </w:r>
      <w:r>
        <w:rPr>
          <w:rFonts w:hint="eastAsia" w:ascii="仿宋_GB2312" w:eastAsia="仿宋_GB2312" w:cs="Times New Roman"/>
          <w:color w:val="auto"/>
          <w:kern w:val="0"/>
          <w:sz w:val="32"/>
          <w:szCs w:val="32"/>
          <w:lang w:val="en-US" w:eastAsia="zh-CN" w:bidi="ar"/>
        </w:rPr>
        <w:t>财政部门安排的行政单位（包括实行公务员管理的事业单位）基本医疗保险缴费经费，未参加医疗保险的行政单位的公费医疗经费，按国家规定享受离休人员、红军老战士待遇的医疗经费</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hAnsi="Times New Roman" w:eastAsia="仿宋_GB2312" w:cs="Times New Roman"/>
          <w:color w:val="auto"/>
          <w:kern w:val="0"/>
          <w:sz w:val="32"/>
          <w:szCs w:val="32"/>
          <w:lang w:val="en-US" w:eastAsia="zh-CN" w:bidi="ar"/>
        </w:rPr>
        <w:t>1</w:t>
      </w:r>
      <w:r>
        <w:rPr>
          <w:rFonts w:hint="eastAsia" w:ascii="仿宋_GB2312" w:eastAsia="仿宋_GB2312" w:cs="Times New Roman"/>
          <w:color w:val="auto"/>
          <w:kern w:val="0"/>
          <w:sz w:val="32"/>
          <w:szCs w:val="32"/>
          <w:lang w:val="en-US" w:eastAsia="zh-CN" w:bidi="ar"/>
        </w:rPr>
        <w:t>2</w:t>
      </w:r>
      <w:r>
        <w:rPr>
          <w:rFonts w:hint="eastAsia" w:ascii="仿宋_GB2312" w:hAnsi="Times New Roman" w:eastAsia="仿宋_GB2312" w:cs="Times New Roman"/>
          <w:color w:val="auto"/>
          <w:kern w:val="0"/>
          <w:sz w:val="32"/>
          <w:szCs w:val="32"/>
          <w:lang w:val="en-US" w:eastAsia="zh-CN" w:bidi="ar"/>
        </w:rPr>
        <w:t>.住房保障支出（221）住房改革支出（02）住房公积金（01）：指</w:t>
      </w:r>
      <w:r>
        <w:rPr>
          <w:rFonts w:hint="eastAsia" w:ascii="仿宋_GB2312" w:eastAsia="仿宋_GB2312" w:cs="Times New Roman"/>
          <w:color w:val="auto"/>
          <w:kern w:val="0"/>
          <w:sz w:val="32"/>
          <w:szCs w:val="32"/>
          <w:lang w:val="en-US" w:eastAsia="zh-CN" w:bidi="ar"/>
        </w:rPr>
        <w:t>行政事业单位按人力资源和社会保障部、财政部规定的基本工资、津贴补贴以及规定比例为职工缴纳的住房公积金</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13</w:t>
      </w:r>
      <w:r>
        <w:rPr>
          <w:rFonts w:hint="eastAsia" w:ascii="仿宋_GB2312" w:hAnsi="Times New Roman" w:eastAsia="仿宋_GB2312" w:cs="Times New Roman"/>
          <w:color w:val="auto"/>
          <w:kern w:val="0"/>
          <w:sz w:val="32"/>
          <w:szCs w:val="32"/>
          <w:lang w:val="en-US" w:eastAsia="zh-CN" w:bidi="ar"/>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14</w:t>
      </w:r>
      <w:r>
        <w:rPr>
          <w:rFonts w:hint="eastAsia" w:ascii="仿宋_GB2312" w:hAnsi="Times New Roman" w:eastAsia="仿宋_GB2312" w:cs="Times New Roman"/>
          <w:color w:val="auto"/>
          <w:kern w:val="0"/>
          <w:sz w:val="32"/>
          <w:szCs w:val="32"/>
          <w:lang w:val="en-US" w:eastAsia="zh-CN" w:bidi="ar"/>
        </w:rPr>
        <w:t>.项目支出：指在基本支出之外为完成特定行政任务和事业发展目标所发生的支出。</w:t>
      </w:r>
    </w:p>
    <w:p>
      <w:pPr>
        <w:pStyle w:val="34"/>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4"/>
        <w:pageBreakBefore w:val="0"/>
        <w:kinsoku/>
        <w:wordWrap/>
        <w:overflowPunct/>
        <w:topLinePunct w:val="0"/>
        <w:bidi w:val="0"/>
        <w:spacing w:line="560" w:lineRule="exact"/>
        <w:ind w:firstLine="640" w:firstLineChars="200"/>
        <w:textAlignment w:val="auto"/>
        <w:rPr>
          <w:rFonts w:ascii="仿宋_GB2312" w:eastAsia="仿宋_GB2312" w:cs="黑体"/>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bookmarkStart w:id="117" w:name="_Toc11143"/>
      <w:r>
        <w:rPr>
          <w:rFonts w:hint="eastAsia" w:ascii="黑体" w:hAnsi="黑体" w:eastAsia="黑体"/>
          <w:color w:val="000000"/>
          <w:sz w:val="44"/>
          <w:szCs w:val="44"/>
        </w:rPr>
        <w:t>第</w:t>
      </w:r>
      <w:r>
        <w:rPr>
          <w:rStyle w:val="24"/>
          <w:rFonts w:hint="eastAsia" w:ascii="黑体" w:hAnsi="黑体" w:eastAsia="黑体"/>
          <w:b w:val="0"/>
        </w:rPr>
        <w:t>四部分</w:t>
      </w:r>
      <w:r>
        <w:rPr>
          <w:rStyle w:val="24"/>
          <w:rFonts w:ascii="黑体" w:hAnsi="黑体" w:eastAsia="黑体"/>
          <w:b w:val="0"/>
        </w:rPr>
        <w:t xml:space="preserve"> </w:t>
      </w:r>
      <w:r>
        <w:rPr>
          <w:rStyle w:val="24"/>
          <w:rFonts w:hint="eastAsia" w:ascii="黑体" w:hAnsi="黑体" w:eastAsia="黑体"/>
          <w:b w:val="0"/>
        </w:rPr>
        <w:t>附件</w:t>
      </w:r>
      <w:bookmarkEnd w:id="114"/>
      <w:bookmarkEnd w:id="115"/>
      <w:bookmarkEnd w:id="117"/>
    </w:p>
    <w:p>
      <w:pPr>
        <w:pageBreakBefore w:val="0"/>
        <w:kinsoku/>
        <w:wordWrap/>
        <w:overflowPunct/>
        <w:topLinePunct w:val="0"/>
        <w:bidi w:val="0"/>
        <w:spacing w:line="560" w:lineRule="exact"/>
        <w:jc w:val="center"/>
        <w:textAlignment w:val="auto"/>
        <w:rPr>
          <w:rFonts w:hint="eastAsia" w:ascii="方正小标宋简体" w:hAnsi="宋体" w:eastAsia="方正小标宋简体"/>
          <w:color w:val="000000"/>
          <w:kern w:val="0"/>
          <w:sz w:val="44"/>
          <w:szCs w:val="44"/>
          <w:lang w:val="en-US" w:eastAsia="zh-CN"/>
        </w:rPr>
      </w:pPr>
      <w:r>
        <w:rPr>
          <w:rFonts w:hint="eastAsia" w:ascii="方正小标宋简体" w:hAnsi="宋体" w:eastAsia="方正小标宋简体"/>
          <w:color w:val="000000"/>
          <w:kern w:val="0"/>
          <w:sz w:val="44"/>
          <w:szCs w:val="44"/>
          <w:lang w:val="en-US" w:eastAsia="zh-CN"/>
        </w:rPr>
        <w:t>壤塘县人民检察院</w:t>
      </w:r>
    </w:p>
    <w:p>
      <w:pPr>
        <w:pageBreakBefore w:val="0"/>
        <w:kinsoku/>
        <w:wordWrap/>
        <w:overflowPunct/>
        <w:topLinePunct w:val="0"/>
        <w:bidi w:val="0"/>
        <w:spacing w:line="560" w:lineRule="exact"/>
        <w:jc w:val="center"/>
        <w:textAlignment w:val="auto"/>
        <w:rPr>
          <w:rFonts w:ascii="黑体" w:hAnsi="宋体" w:eastAsia="黑体" w:cs="宋体"/>
          <w:color w:val="000000"/>
          <w:kern w:val="0"/>
          <w:sz w:val="44"/>
          <w:szCs w:val="44"/>
          <w:shd w:val="clear" w:color="auto" w:fill="FFFFFF"/>
        </w:rPr>
      </w:pPr>
      <w:r>
        <w:rPr>
          <w:rFonts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21</w:t>
      </w:r>
      <w:r>
        <w:rPr>
          <w:rFonts w:ascii="方正小标宋简体" w:hAnsi="宋体" w:eastAsia="方正小标宋简体"/>
          <w:color w:val="000000"/>
          <w:kern w:val="0"/>
          <w:sz w:val="44"/>
          <w:szCs w:val="44"/>
        </w:rPr>
        <w:t>年部门</w:t>
      </w:r>
      <w:r>
        <w:rPr>
          <w:rFonts w:hint="eastAsia" w:ascii="方正小标宋简体" w:hAnsi="宋体" w:eastAsia="方正小标宋简体"/>
          <w:color w:val="000000"/>
          <w:kern w:val="0"/>
          <w:sz w:val="44"/>
          <w:szCs w:val="44"/>
          <w:lang w:val="zh-CN"/>
        </w:rPr>
        <w:t>整体支出绩效评价报告</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pageBreakBefore w:val="0"/>
        <w:widowControl/>
        <w:kinsoku/>
        <w:wordWrap/>
        <w:overflowPunct/>
        <w:topLinePunct w:val="0"/>
        <w:bidi w:val="0"/>
        <w:adjustRightInd w:val="0"/>
        <w:snapToGrid w:val="0"/>
        <w:spacing w:line="560" w:lineRule="exact"/>
        <w:ind w:firstLine="643"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（一）机构组成</w:t>
      </w:r>
    </w:p>
    <w:p>
      <w:pPr>
        <w:pageBreakBefore w:val="0"/>
        <w:widowControl/>
        <w:kinsoku/>
        <w:wordWrap/>
        <w:overflowPunct/>
        <w:topLinePunct w:val="0"/>
        <w:bidi w:val="0"/>
        <w:adjustRightInd w:val="0"/>
        <w:snapToGrid w:val="0"/>
        <w:spacing w:line="560" w:lineRule="exact"/>
        <w:ind w:left="638" w:leftChars="304" w:firstLine="0" w:firstLineChars="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仿宋_GB2312" w:hAnsi="仿宋_GB2312" w:eastAsia="仿宋_GB2312" w:cs="仿宋_GB2312"/>
          <w:bCs/>
          <w:color w:val="000000"/>
          <w:kern w:val="0"/>
          <w:sz w:val="32"/>
          <w:szCs w:val="32"/>
          <w:lang w:val="en-US" w:eastAsia="zh-CN" w:bidi="ar-SA"/>
        </w:rPr>
        <w:t>壤塘县人民检察院属一级单位，无下属二级预算单位。</w:t>
      </w:r>
      <w:r>
        <w:rPr>
          <w:rFonts w:hint="eastAsia" w:ascii="楷体_GB2312" w:hAnsi="楷体_GB2312" w:eastAsia="楷体_GB2312" w:cs="楷体_GB2312"/>
          <w:b/>
          <w:bCs/>
          <w:color w:val="000000"/>
          <w:kern w:val="0"/>
          <w:sz w:val="32"/>
          <w:szCs w:val="32"/>
          <w:shd w:val="clear" w:color="auto" w:fill="FFFFFF"/>
          <w:lang w:val="zh-CN"/>
        </w:rPr>
        <w:t>（二）机构职能</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eastAsia="仿宋_GB2312"/>
          <w:color w:val="000000"/>
          <w:sz w:val="32"/>
          <w:szCs w:val="32"/>
        </w:rPr>
        <w:t>深入贯彻习近平新时代中国特色社会主义思想，深入贯彻党的路线方针政策和决策部署，统一检察队伍思想和行动，坚持党对检察工作的绝对领导，坚决维护党中央权威和集中统一领导。依法向</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县人民代表大会及其常务委员会提出议案。按照上级检察机关确定的工作方针，研究制定</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县人民检察院检察工作规划，部署检察工作任务。对刑事案件依法审查批准逮捕、决定逮捕、提起公诉。负责应由</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县人民检察院承办的刑事、民事、行政诉讼活动及刑事、民事、行政判决和裁定等生效法律文书执行的法律监督工作。负责应由</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县人民检察院承办的提起公益诉讼工作。负责应由</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县人民检察院承办的对看守所等执法活动的法律监督工作。受理向</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县人民检察院的控告申诉。开展检察机关的理论研究工作。负责</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县人民检察院队伍建设和思想政治工作。依法管理检察官及其他检察人员的工作，协同地方主管部门管理人民检察院的机构设置及人员编制，制定相关人员管理办法，组织开展</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县人民检察院教育培训工作。协同地方党委主管部门管理和考核除检察长和其他领导班子成员以外的检察机关工作人员。开展</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县人民检察院的检务督察工作。开展</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县人民检察院的财务装备、检察技术信息工作。负责其他应由</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县人民检察院承办的事项。</w:t>
      </w:r>
    </w:p>
    <w:p>
      <w:pPr>
        <w:pageBreakBefore w:val="0"/>
        <w:widowControl/>
        <w:numPr>
          <w:ilvl w:val="0"/>
          <w:numId w:val="0"/>
        </w:numPr>
        <w:kinsoku/>
        <w:wordWrap/>
        <w:overflowPunct/>
        <w:topLinePunct w:val="0"/>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（三）人员概况</w:t>
      </w:r>
    </w:p>
    <w:p>
      <w:pPr>
        <w:pageBreakBefore w:val="0"/>
        <w:widowControl/>
        <w:numPr>
          <w:ilvl w:val="0"/>
          <w:numId w:val="0"/>
        </w:numPr>
        <w:kinsoku/>
        <w:wordWrap/>
        <w:overflowPunct/>
        <w:topLinePunct w:val="0"/>
        <w:bidi w:val="0"/>
        <w:adjustRightInd w:val="0"/>
        <w:snapToGrid w:val="0"/>
        <w:spacing w:line="560" w:lineRule="exact"/>
        <w:contextualSpacing/>
        <w:jc w:val="left"/>
        <w:textAlignment w:val="auto"/>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hAnsi="宋体" w:eastAsia="仿宋_GB2312"/>
          <w:sz w:val="32"/>
          <w:szCs w:val="32"/>
          <w:lang w:eastAsia="zh-CN"/>
        </w:rPr>
        <w:t>壤塘县人民检察院编制数政法专项编制数</w:t>
      </w:r>
      <w:r>
        <w:rPr>
          <w:rFonts w:hint="eastAsia" w:ascii="仿宋_GB2312" w:hAnsi="宋体" w:eastAsia="仿宋_GB2312"/>
          <w:sz w:val="32"/>
          <w:szCs w:val="32"/>
          <w:lang w:val="en-US" w:eastAsia="zh-CN"/>
        </w:rPr>
        <w:t>22</w:t>
      </w:r>
      <w:r>
        <w:rPr>
          <w:rFonts w:hint="eastAsia" w:ascii="仿宋_GB2312" w:hAnsi="宋体" w:eastAsia="仿宋_GB2312"/>
          <w:sz w:val="32"/>
          <w:szCs w:val="32"/>
          <w:lang w:eastAsia="zh-CN"/>
        </w:rPr>
        <w:t>名，工勤编制数</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名，聘用制书记员（编外）</w:t>
      </w:r>
      <w:r>
        <w:rPr>
          <w:rFonts w:hint="eastAsia" w:ascii="仿宋_GB2312" w:hAnsi="宋体" w:eastAsia="仿宋_GB2312"/>
          <w:sz w:val="32"/>
          <w:szCs w:val="32"/>
          <w:lang w:val="en-US" w:eastAsia="zh-CN"/>
        </w:rPr>
        <w:t>7人</w:t>
      </w:r>
      <w:r>
        <w:rPr>
          <w:rFonts w:hint="eastAsia" w:ascii="仿宋_GB2312" w:hAnsi="宋体" w:eastAsia="仿宋_GB2312"/>
          <w:sz w:val="32"/>
          <w:szCs w:val="32"/>
          <w:lang w:eastAsia="zh-CN"/>
        </w:rPr>
        <w:t>，其中：行政编制</w:t>
      </w:r>
      <w:r>
        <w:rPr>
          <w:rFonts w:hint="eastAsia" w:ascii="仿宋_GB2312" w:hAnsi="宋体" w:eastAsia="仿宋_GB2312"/>
          <w:sz w:val="32"/>
          <w:szCs w:val="32"/>
          <w:lang w:val="en-US" w:eastAsia="zh-CN"/>
        </w:rPr>
        <w:t>24</w:t>
      </w:r>
      <w:r>
        <w:rPr>
          <w:rFonts w:hint="eastAsia" w:ascii="仿宋_GB2312" w:hAnsi="宋体" w:eastAsia="仿宋_GB2312"/>
          <w:sz w:val="32"/>
          <w:szCs w:val="32"/>
          <w:lang w:eastAsia="zh-CN"/>
        </w:rPr>
        <w:t>人、全额事业编制</w:t>
      </w:r>
      <w:r>
        <w:rPr>
          <w:rFonts w:hint="eastAsia" w:ascii="仿宋_GB2312" w:hAnsi="宋体" w:eastAsia="仿宋_GB2312"/>
          <w:sz w:val="32"/>
          <w:szCs w:val="32"/>
          <w:lang w:val="en-US" w:eastAsia="zh-CN"/>
        </w:rPr>
        <w:t>0</w:t>
      </w:r>
      <w:r>
        <w:rPr>
          <w:rFonts w:hint="eastAsia" w:ascii="仿宋_GB2312" w:hAnsi="宋体" w:eastAsia="仿宋_GB2312"/>
          <w:sz w:val="32"/>
          <w:szCs w:val="32"/>
          <w:lang w:eastAsia="zh-CN"/>
        </w:rPr>
        <w:t>人。在职人数</w:t>
      </w:r>
      <w:r>
        <w:rPr>
          <w:rFonts w:hint="eastAsia" w:ascii="仿宋_GB2312" w:hAnsi="宋体" w:eastAsia="仿宋_GB2312"/>
          <w:sz w:val="32"/>
          <w:szCs w:val="32"/>
          <w:lang w:val="en-US" w:eastAsia="zh-CN"/>
        </w:rPr>
        <w:t>23</w:t>
      </w:r>
      <w:r>
        <w:rPr>
          <w:rFonts w:hint="eastAsia" w:ascii="仿宋_GB2312" w:hAnsi="宋体" w:eastAsia="仿宋_GB2312"/>
          <w:sz w:val="32"/>
          <w:szCs w:val="32"/>
          <w:lang w:eastAsia="zh-CN"/>
        </w:rPr>
        <w:t>人,聘用制书记员（编外）</w:t>
      </w:r>
      <w:r>
        <w:rPr>
          <w:rFonts w:hint="eastAsia" w:ascii="仿宋_GB2312" w:hAnsi="宋体" w:eastAsia="仿宋_GB2312"/>
          <w:sz w:val="32"/>
          <w:szCs w:val="32"/>
          <w:lang w:val="en-US" w:eastAsia="zh-CN"/>
        </w:rPr>
        <w:t>7人，</w:t>
      </w:r>
      <w:r>
        <w:rPr>
          <w:rFonts w:hint="eastAsia" w:ascii="仿宋_GB2312" w:hAnsi="宋体" w:eastAsia="仿宋_GB2312"/>
          <w:sz w:val="32"/>
          <w:szCs w:val="32"/>
          <w:lang w:eastAsia="zh-CN"/>
        </w:rPr>
        <w:t>离休人员</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人，退休人员</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人。</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pageBreakBefore w:val="0"/>
        <w:widowControl/>
        <w:numPr>
          <w:ilvl w:val="0"/>
          <w:numId w:val="0"/>
        </w:numPr>
        <w:kinsoku/>
        <w:wordWrap/>
        <w:overflowPunct/>
        <w:topLinePunct w:val="0"/>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（一）部门财政资金收入情况</w:t>
      </w:r>
    </w:p>
    <w:p>
      <w:pPr>
        <w:spacing w:line="600" w:lineRule="exact"/>
        <w:ind w:firstLine="640"/>
        <w:rPr>
          <w:rFonts w:hint="eastAsia" w:ascii="仿宋" w:hAnsi="仿宋" w:eastAsia="仿宋"/>
          <w:b/>
          <w:bCs/>
          <w:color w:val="000000"/>
          <w:sz w:val="32"/>
          <w:szCs w:val="32"/>
          <w:lang w:eastAsia="zh-CN"/>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1年一般公共预算财政拨款支出854.83万元，主要用于以下方面</w:t>
      </w:r>
      <w:r>
        <w:rPr>
          <w:rFonts w:ascii="仿宋" w:hAnsi="仿宋" w:eastAsia="仿宋"/>
          <w:color w:val="000000"/>
          <w:sz w:val="32"/>
          <w:szCs w:val="32"/>
        </w:rPr>
        <w:t>:</w:t>
      </w:r>
      <w:r>
        <w:rPr>
          <w:rFonts w:hint="eastAsia" w:ascii="仿宋" w:hAnsi="仿宋" w:eastAsia="仿宋"/>
          <w:b/>
          <w:color w:val="000000"/>
          <w:sz w:val="32"/>
          <w:szCs w:val="32"/>
        </w:rPr>
        <w:t>公共安全（类）</w:t>
      </w:r>
      <w:r>
        <w:rPr>
          <w:rFonts w:hint="eastAsia" w:ascii="仿宋" w:hAnsi="仿宋" w:eastAsia="仿宋"/>
          <w:color w:val="000000"/>
          <w:sz w:val="32"/>
          <w:szCs w:val="32"/>
        </w:rPr>
        <w:t>支出713.16万元，占</w:t>
      </w:r>
      <w:r>
        <w:rPr>
          <w:rFonts w:hint="eastAsia" w:ascii="仿宋" w:hAnsi="仿宋" w:eastAsia="仿宋"/>
          <w:color w:val="000000"/>
          <w:sz w:val="32"/>
          <w:szCs w:val="32"/>
          <w:lang w:val="en-US" w:eastAsia="zh-CN"/>
        </w:rPr>
        <w:t>83.43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75.07万元，占</w:t>
      </w:r>
      <w:r>
        <w:rPr>
          <w:rFonts w:hint="eastAsia" w:ascii="仿宋" w:hAnsi="仿宋" w:eastAsia="仿宋"/>
          <w:color w:val="000000"/>
          <w:sz w:val="32"/>
          <w:szCs w:val="32"/>
          <w:lang w:val="en-US" w:eastAsia="zh-CN"/>
        </w:rPr>
        <w:t>8.78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卫生健康（类）</w:t>
      </w:r>
      <w:r>
        <w:rPr>
          <w:rFonts w:hint="eastAsia" w:ascii="仿宋" w:hAnsi="仿宋" w:eastAsia="仿宋"/>
          <w:color w:val="000000"/>
          <w:sz w:val="32"/>
          <w:szCs w:val="32"/>
        </w:rPr>
        <w:t>支出24.26万元，占</w:t>
      </w:r>
      <w:r>
        <w:rPr>
          <w:rFonts w:hint="eastAsia" w:ascii="仿宋" w:hAnsi="仿宋" w:eastAsia="仿宋"/>
          <w:color w:val="000000"/>
          <w:sz w:val="32"/>
          <w:szCs w:val="32"/>
          <w:lang w:val="en-US" w:eastAsia="zh-CN"/>
        </w:rPr>
        <w:t>2.84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住房保障（类）支出42.34万元，占</w:t>
      </w:r>
      <w:r>
        <w:rPr>
          <w:rFonts w:hint="eastAsia" w:ascii="仿宋" w:hAnsi="仿宋" w:eastAsia="仿宋"/>
          <w:b/>
          <w:bCs/>
          <w:color w:val="000000"/>
          <w:sz w:val="32"/>
          <w:szCs w:val="32"/>
          <w:lang w:val="en-US" w:eastAsia="zh-CN"/>
        </w:rPr>
        <w:t>4.95</w:t>
      </w:r>
      <w:r>
        <w:rPr>
          <w:rFonts w:ascii="仿宋" w:hAnsi="仿宋" w:eastAsia="仿宋"/>
          <w:b/>
          <w:bCs/>
          <w:color w:val="000000"/>
          <w:sz w:val="32"/>
          <w:szCs w:val="32"/>
        </w:rPr>
        <w:t>%</w:t>
      </w:r>
      <w:r>
        <w:rPr>
          <w:rFonts w:hint="eastAsia" w:ascii="仿宋" w:hAnsi="仿宋" w:eastAsia="仿宋"/>
          <w:b/>
          <w:bCs/>
          <w:color w:val="000000"/>
          <w:sz w:val="32"/>
          <w:szCs w:val="32"/>
          <w:lang w:eastAsia="zh-CN"/>
        </w:rPr>
        <w:t>。</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（二）部门财政资金支出情况</w:t>
      </w:r>
    </w:p>
    <w:p>
      <w:pPr>
        <w:spacing w:line="600" w:lineRule="exact"/>
        <w:ind w:firstLine="640"/>
        <w:rPr>
          <w:rFonts w:hint="eastAsia" w:ascii="仿宋" w:hAnsi="仿宋" w:eastAsia="仿宋"/>
          <w:b/>
          <w:bCs/>
          <w:color w:val="000000"/>
          <w:sz w:val="32"/>
          <w:szCs w:val="32"/>
          <w:lang w:eastAsia="zh-CN"/>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1年一般公共预算财政拨款支出854.83万元，主要用于以下方面</w:t>
      </w:r>
      <w:r>
        <w:rPr>
          <w:rFonts w:ascii="仿宋" w:hAnsi="仿宋" w:eastAsia="仿宋"/>
          <w:color w:val="000000"/>
          <w:sz w:val="32"/>
          <w:szCs w:val="32"/>
        </w:rPr>
        <w:t>:</w:t>
      </w:r>
      <w:r>
        <w:rPr>
          <w:rFonts w:hint="eastAsia" w:ascii="仿宋" w:hAnsi="仿宋" w:eastAsia="仿宋"/>
          <w:b/>
          <w:color w:val="000000"/>
          <w:sz w:val="32"/>
          <w:szCs w:val="32"/>
        </w:rPr>
        <w:t>公共安全（类）</w:t>
      </w:r>
      <w:r>
        <w:rPr>
          <w:rFonts w:hint="eastAsia" w:ascii="仿宋" w:hAnsi="仿宋" w:eastAsia="仿宋"/>
          <w:color w:val="000000"/>
          <w:sz w:val="32"/>
          <w:szCs w:val="32"/>
        </w:rPr>
        <w:t>支出713.16万元，占</w:t>
      </w:r>
      <w:r>
        <w:rPr>
          <w:rFonts w:hint="eastAsia" w:ascii="仿宋" w:hAnsi="仿宋" w:eastAsia="仿宋"/>
          <w:color w:val="000000"/>
          <w:sz w:val="32"/>
          <w:szCs w:val="32"/>
          <w:lang w:val="en-US" w:eastAsia="zh-CN"/>
        </w:rPr>
        <w:t>83.43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75.07万元，占</w:t>
      </w:r>
      <w:r>
        <w:rPr>
          <w:rFonts w:hint="eastAsia" w:ascii="仿宋" w:hAnsi="仿宋" w:eastAsia="仿宋"/>
          <w:color w:val="000000"/>
          <w:sz w:val="32"/>
          <w:szCs w:val="32"/>
          <w:lang w:val="en-US" w:eastAsia="zh-CN"/>
        </w:rPr>
        <w:t>8.78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卫生健康（类）</w:t>
      </w:r>
      <w:r>
        <w:rPr>
          <w:rFonts w:hint="eastAsia" w:ascii="仿宋" w:hAnsi="仿宋" w:eastAsia="仿宋"/>
          <w:color w:val="000000"/>
          <w:sz w:val="32"/>
          <w:szCs w:val="32"/>
        </w:rPr>
        <w:t>支出24.26万元，占</w:t>
      </w:r>
      <w:r>
        <w:rPr>
          <w:rFonts w:hint="eastAsia" w:ascii="仿宋" w:hAnsi="仿宋" w:eastAsia="仿宋"/>
          <w:color w:val="000000"/>
          <w:sz w:val="32"/>
          <w:szCs w:val="32"/>
          <w:lang w:val="en-US" w:eastAsia="zh-CN"/>
        </w:rPr>
        <w:t>2.84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住房保障（类）支出42.34万元，占</w:t>
      </w:r>
      <w:r>
        <w:rPr>
          <w:rFonts w:hint="eastAsia" w:ascii="仿宋" w:hAnsi="仿宋" w:eastAsia="仿宋"/>
          <w:b/>
          <w:bCs/>
          <w:color w:val="000000"/>
          <w:sz w:val="32"/>
          <w:szCs w:val="32"/>
          <w:lang w:val="en-US" w:eastAsia="zh-CN"/>
        </w:rPr>
        <w:t>4.95</w:t>
      </w:r>
      <w:r>
        <w:rPr>
          <w:rFonts w:ascii="仿宋" w:hAnsi="仿宋" w:eastAsia="仿宋"/>
          <w:b/>
          <w:bCs/>
          <w:color w:val="000000"/>
          <w:sz w:val="32"/>
          <w:szCs w:val="32"/>
        </w:rPr>
        <w:t>%</w:t>
      </w:r>
      <w:r>
        <w:rPr>
          <w:rFonts w:hint="eastAsia" w:ascii="仿宋" w:hAnsi="仿宋" w:eastAsia="仿宋"/>
          <w:b/>
          <w:bCs/>
          <w:color w:val="000000"/>
          <w:sz w:val="32"/>
          <w:szCs w:val="32"/>
          <w:lang w:eastAsia="zh-CN"/>
        </w:rPr>
        <w:t>。</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（一）部门预算管理</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ascii="仿宋" w:hAnsi="仿宋" w:eastAsia="仿宋" w:cs="仿宋_GB2312"/>
          <w:sz w:val="32"/>
          <w:szCs w:val="32"/>
        </w:rPr>
      </w:pPr>
      <w:r>
        <w:rPr>
          <w:rFonts w:hint="eastAsia" w:ascii="仿宋_GB2312" w:hAnsi="仿宋_GB2312" w:eastAsia="仿宋_GB2312" w:cs="仿宋_GB2312"/>
          <w:color w:val="000000"/>
          <w:sz w:val="32"/>
          <w:szCs w:val="32"/>
        </w:rPr>
        <w:t>我院按照财政要求及时准确、保质保量编报财政预决算、绩效目标报表。根据我院工作实际，建立各项工作制度，实施内部监督和控制，并在工作中严格要求遵守规章制度，</w:t>
      </w:r>
      <w:r>
        <w:rPr>
          <w:rFonts w:hint="eastAsia" w:ascii="仿宋_GB2312" w:hAnsi="仿宋_GB2312" w:eastAsia="仿宋_GB2312" w:cs="仿宋_GB2312"/>
          <w:color w:val="000000"/>
          <w:sz w:val="32"/>
          <w:szCs w:val="32"/>
          <w:lang w:eastAsia="zh-CN"/>
        </w:rPr>
        <w:t>强化控制作用</w:t>
      </w:r>
      <w:r>
        <w:rPr>
          <w:rFonts w:hint="eastAsia" w:ascii="仿宋_GB2312" w:hAnsi="仿宋_GB2312" w:eastAsia="仿宋_GB2312" w:cs="仿宋_GB2312"/>
          <w:color w:val="000000"/>
          <w:sz w:val="32"/>
          <w:szCs w:val="32"/>
        </w:rPr>
        <w:t>，保证了会计工作的真实性、完整性以及单位财产的安全，加强了对本单位财产物资的监督和管理，杜绝了各种漏洞的发生。</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（二）结果应用情况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我院根据部门整体支出绩效评价指标体系对部门预算绩效管理工作开展情况进行自评。从年初指标细则到指标完成情况，进行全面自查及自评，通过落实目标明确、目标合理、工作可量化等各项要求，保障了</w:t>
      </w:r>
      <w:r>
        <w:rPr>
          <w:rFonts w:hint="eastAsia" w:ascii="仿宋_GB2312" w:hAnsi="仿宋_GB2312" w:eastAsia="仿宋_GB2312" w:cs="仿宋_GB2312"/>
          <w:color w:val="000000"/>
          <w:kern w:val="0"/>
          <w:sz w:val="32"/>
          <w:szCs w:val="32"/>
          <w:lang w:eastAsia="zh-CN"/>
        </w:rPr>
        <w:t>我院</w:t>
      </w:r>
      <w:r>
        <w:rPr>
          <w:rFonts w:hint="eastAsia" w:ascii="仿宋_GB2312" w:hAnsi="仿宋_GB2312" w:eastAsia="仿宋_GB2312" w:cs="仿宋_GB2312"/>
          <w:color w:val="000000"/>
          <w:kern w:val="0"/>
          <w:sz w:val="32"/>
          <w:szCs w:val="32"/>
        </w:rPr>
        <w:t>工作高效运行，各项工作按照计划有序实施，完成数量及质量均得到有效控制；工作实施所需的经费均得到充分保障，</w:t>
      </w:r>
      <w:r>
        <w:rPr>
          <w:rFonts w:hint="eastAsia" w:ascii="仿宋_GB2312" w:hAnsi="仿宋_GB2312" w:eastAsia="仿宋_GB2312" w:cs="仿宋_GB2312"/>
          <w:color w:val="000000"/>
          <w:kern w:val="0"/>
          <w:sz w:val="32"/>
          <w:szCs w:val="32"/>
          <w:lang w:eastAsia="zh-CN"/>
        </w:rPr>
        <w:t>检察</w:t>
      </w:r>
      <w:r>
        <w:rPr>
          <w:rFonts w:hint="eastAsia" w:ascii="仿宋_GB2312" w:hAnsi="仿宋_GB2312" w:eastAsia="仿宋_GB2312" w:cs="仿宋_GB2312"/>
          <w:color w:val="000000"/>
          <w:kern w:val="0"/>
          <w:sz w:val="32"/>
          <w:szCs w:val="32"/>
        </w:rPr>
        <w:t>工作质量显著提升。</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（一）评价结论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lang w:eastAsia="zh-CN"/>
        </w:rPr>
        <w:t>我院</w:t>
      </w:r>
      <w:r>
        <w:rPr>
          <w:rFonts w:hint="eastAsia" w:ascii="仿宋_GB2312" w:hAnsi="仿宋_GB2312" w:eastAsia="仿宋_GB2312" w:cs="仿宋_GB2312"/>
          <w:color w:val="000000"/>
          <w:kern w:val="0"/>
          <w:sz w:val="32"/>
          <w:szCs w:val="32"/>
        </w:rPr>
        <w:t>部门预算执行情况良好，无不良记录及违规违纪行为</w:t>
      </w:r>
      <w:r>
        <w:rPr>
          <w:rFonts w:hint="eastAsia" w:ascii="仿宋_GB2312" w:hAnsi="仿宋_GB2312" w:eastAsia="仿宋_GB2312" w:cs="仿宋_GB2312"/>
          <w:color w:val="000000"/>
          <w:kern w:val="0"/>
          <w:sz w:val="32"/>
          <w:szCs w:val="32"/>
          <w:lang w:eastAsia="zh-CN"/>
        </w:rPr>
        <w:t>。</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（二）存在问题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Calibri" w:eastAsia="仿宋_GB2312" w:cs="仿宋"/>
          <w:color w:val="000000"/>
          <w:sz w:val="32"/>
          <w:szCs w:val="32"/>
        </w:rPr>
        <w:t>财务人员业务</w:t>
      </w:r>
      <w:r>
        <w:rPr>
          <w:rFonts w:hint="eastAsia" w:ascii="仿宋_GB2312" w:hAnsi="Calibri" w:eastAsia="仿宋_GB2312" w:cs="仿宋"/>
          <w:color w:val="000000"/>
          <w:sz w:val="32"/>
          <w:szCs w:val="32"/>
          <w:lang w:eastAsia="zh-CN"/>
        </w:rPr>
        <w:t>专业</w:t>
      </w:r>
      <w:r>
        <w:rPr>
          <w:rFonts w:hint="eastAsia" w:ascii="仿宋_GB2312" w:hAnsi="Calibri" w:eastAsia="仿宋_GB2312" w:cs="仿宋"/>
          <w:color w:val="000000"/>
          <w:sz w:val="32"/>
          <w:szCs w:val="32"/>
        </w:rPr>
        <w:t>水平有待提高</w:t>
      </w:r>
      <w:r>
        <w:rPr>
          <w:rFonts w:hint="eastAsia" w:ascii="仿宋_GB2312" w:hAnsi="仿宋_GB2312" w:eastAsia="仿宋_GB2312" w:cs="仿宋_GB2312"/>
          <w:color w:val="000000"/>
          <w:kern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
          <w:color w:val="000000"/>
          <w:sz w:val="32"/>
          <w:szCs w:val="32"/>
          <w:lang w:eastAsia="zh-CN"/>
        </w:rPr>
      </w:pPr>
      <w:r>
        <w:rPr>
          <w:rFonts w:hint="eastAsia" w:ascii="仿宋_GB2312" w:hAnsi="Calibri" w:eastAsia="仿宋_GB2312" w:cs="仿宋"/>
          <w:color w:val="000000"/>
          <w:sz w:val="32"/>
          <w:szCs w:val="32"/>
        </w:rPr>
        <w:t>预算编制仍需进一步精确细化。</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（三）改进建议</w:t>
      </w:r>
    </w:p>
    <w:p>
      <w:pPr>
        <w:pageBreakBefore w:val="0"/>
        <w:widowControl/>
        <w:numPr>
          <w:ilvl w:val="0"/>
          <w:numId w:val="0"/>
        </w:numPr>
        <w:kinsoku/>
        <w:wordWrap/>
        <w:overflowPunct/>
        <w:topLinePunct w:val="0"/>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000000"/>
          <w:sz w:val="32"/>
          <w:szCs w:val="32"/>
          <w:lang w:val="zh-CN"/>
        </w:rPr>
      </w:pPr>
      <w:r>
        <w:rPr>
          <w:rFonts w:hint="eastAsia" w:ascii="仿宋_GB2312" w:hAnsi="Calibri" w:eastAsia="仿宋_GB2312" w:cs="仿宋"/>
          <w:color w:val="000000"/>
          <w:sz w:val="32"/>
          <w:szCs w:val="32"/>
        </w:rPr>
        <w:t>一是</w:t>
      </w:r>
      <w:r>
        <w:rPr>
          <w:rFonts w:hint="eastAsia" w:ascii="仿宋_GB2312" w:hAnsi="Calibri" w:eastAsia="仿宋_GB2312" w:cs="仿宋"/>
          <w:color w:val="000000"/>
          <w:sz w:val="32"/>
          <w:szCs w:val="32"/>
          <w:lang w:eastAsia="zh-CN"/>
        </w:rPr>
        <w:t>财务人员提高业务技能，加强理论培训。二是</w:t>
      </w:r>
      <w:r>
        <w:rPr>
          <w:rFonts w:hint="eastAsia" w:ascii="仿宋_GB2312" w:hAnsi="Calibri" w:eastAsia="仿宋_GB2312" w:cs="仿宋"/>
          <w:color w:val="000000"/>
          <w:sz w:val="32"/>
          <w:szCs w:val="32"/>
        </w:rPr>
        <w:t>科学合理编制预算，严格执行预算。</w:t>
      </w:r>
      <w:r>
        <w:rPr>
          <w:rFonts w:hint="eastAsia" w:ascii="仿宋_GB2312" w:hAnsi="Calibri" w:eastAsia="仿宋_GB2312" w:cs="仿宋"/>
          <w:color w:val="000000"/>
          <w:sz w:val="32"/>
          <w:szCs w:val="32"/>
          <w:lang w:eastAsia="zh-CN"/>
        </w:rPr>
        <w:t>在</w:t>
      </w:r>
      <w:r>
        <w:rPr>
          <w:rFonts w:hint="eastAsia" w:ascii="仿宋_GB2312" w:hAnsi="Calibri" w:eastAsia="仿宋_GB2312" w:cs="仿宋"/>
          <w:color w:val="000000"/>
          <w:sz w:val="32"/>
          <w:szCs w:val="32"/>
        </w:rPr>
        <w:t>预算的编制阶段，多花时间、下功夫，将每一项支出的预算做好做细。在预算的执行阶段，严格控制每项支出，并定期将预算使用情况向院党组汇报，针对突发性支出做好准备工作。</w:t>
      </w: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jc w:val="center"/>
        <w:textAlignment w:val="auto"/>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lang w:eastAsia="zh-CN"/>
        </w:rPr>
        <w:t>壤塘县人民检察院</w:t>
      </w:r>
    </w:p>
    <w:p>
      <w:pPr>
        <w:pageBreakBefore w:val="0"/>
        <w:kinsoku/>
        <w:wordWrap/>
        <w:overflowPunct/>
        <w:topLinePunct w:val="0"/>
        <w:bidi w:val="0"/>
        <w:spacing w:line="560" w:lineRule="exact"/>
        <w:jc w:val="center"/>
        <w:textAlignment w:val="auto"/>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2021年司法救助金</w:t>
      </w:r>
      <w:r>
        <w:rPr>
          <w:rFonts w:hint="eastAsia" w:ascii="方正小标宋简体" w:hAnsi="宋体" w:eastAsia="方正小标宋简体"/>
          <w:color w:val="000000"/>
          <w:kern w:val="0"/>
          <w:sz w:val="44"/>
          <w:szCs w:val="44"/>
          <w:lang w:val="zh-CN"/>
        </w:rPr>
        <w:t>绩效评价报告</w:t>
      </w:r>
    </w:p>
    <w:p>
      <w:pPr>
        <w:pageBreakBefore w:val="0"/>
        <w:kinsoku/>
        <w:wordWrap/>
        <w:overflowPunct/>
        <w:topLinePunct w:val="0"/>
        <w:bidi w:val="0"/>
        <w:spacing w:line="560" w:lineRule="exact"/>
        <w:textAlignment w:val="auto"/>
        <w:rPr>
          <w:rFonts w:ascii="宋体" w:hAnsi="宋体"/>
          <w:sz w:val="32"/>
          <w:szCs w:val="32"/>
          <w:lang w:val="zh-CN"/>
        </w:rPr>
      </w:pPr>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宋体" w:eastAsia="仿宋_GB2312" w:cs="宋体"/>
          <w:kern w:val="0"/>
          <w:sz w:val="32"/>
          <w:szCs w:val="32"/>
        </w:rPr>
        <w:t>检察院国家司法救助工作，是检察院在办理案件过程中，对遭受犯罪侵害或者民事侵权，无法通过诉讼获得有效赔偿，生活面临急迫困难的当事人采取的辅助性救济措施。</w:t>
      </w:r>
      <w:r>
        <w:rPr>
          <w:rFonts w:hint="eastAsia" w:ascii="仿宋_GB2312" w:hAnsi="仿宋_GB2312" w:eastAsia="仿宋_GB2312" w:cs="仿宋_GB2312"/>
          <w:color w:val="000000"/>
          <w:kern w:val="0"/>
          <w:sz w:val="32"/>
          <w:szCs w:val="32"/>
          <w:lang w:val="en-US" w:eastAsia="zh-CN"/>
        </w:rPr>
        <w:t>2021年我院司法救助案件3件5人，共计金额4万元。</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按时保质的完成</w:t>
      </w:r>
      <w:r>
        <w:rPr>
          <w:rFonts w:hint="eastAsia" w:ascii="仿宋_GB2312" w:hAnsi="宋体" w:eastAsia="仿宋_GB2312" w:cs="宋体"/>
          <w:kern w:val="0"/>
          <w:sz w:val="32"/>
          <w:szCs w:val="32"/>
          <w:lang w:eastAsia="zh-CN"/>
        </w:rPr>
        <w:t>司法救助案件</w:t>
      </w:r>
      <w:r>
        <w:rPr>
          <w:rFonts w:hint="eastAsia" w:ascii="仿宋_GB2312" w:hAnsi="宋体" w:eastAsia="仿宋_GB2312" w:cs="宋体"/>
          <w:kern w:val="0"/>
          <w:sz w:val="32"/>
          <w:szCs w:val="32"/>
        </w:rPr>
        <w:t>。</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2.加强社会治安综合治理工作，确保全县平安稳定，保障社会公平正义，促进社会和谐稳定。</w:t>
      </w:r>
      <w:r>
        <w:rPr>
          <w:rFonts w:hint="eastAsia" w:ascii="仿宋_GB2312" w:hAnsi="宋体" w:eastAsia="仿宋_GB2312" w:cs="宋体"/>
          <w:kern w:val="0"/>
          <w:sz w:val="32"/>
          <w:szCs w:val="32"/>
        </w:rPr>
        <w:t xml:space="preserve"> </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sz w:val="32"/>
          <w:szCs w:val="32"/>
          <w:lang w:val="zh-CN" w:eastAsia="zh-CN"/>
        </w:rPr>
      </w:pPr>
      <w:r>
        <w:rPr>
          <w:rFonts w:hint="eastAsia" w:ascii="仿宋_GB2312" w:hAnsi="仿宋_GB2312" w:eastAsia="仿宋_GB2312" w:cs="仿宋_GB2312"/>
          <w:color w:val="000000"/>
          <w:kern w:val="0"/>
          <w:sz w:val="32"/>
          <w:szCs w:val="32"/>
          <w:lang w:val="zh-CN"/>
        </w:rPr>
        <w:t>我院根据质量指标、时效指标、成本指标、社会效益指标、可持续影响指标、服务对象满意度指标对</w:t>
      </w:r>
      <w:r>
        <w:rPr>
          <w:rFonts w:hint="eastAsia" w:ascii="仿宋_GB2312" w:hAnsi="宋体" w:eastAsia="仿宋_GB2312"/>
          <w:sz w:val="32"/>
          <w:szCs w:val="32"/>
          <w:lang w:val="en-US" w:eastAsia="zh-CN"/>
        </w:rPr>
        <w:t>2021年</w:t>
      </w:r>
      <w:r>
        <w:rPr>
          <w:rFonts w:hint="eastAsia" w:ascii="仿宋_GB2312" w:hAnsi="仿宋_GB2312" w:eastAsia="仿宋_GB2312" w:cs="仿宋_GB2312"/>
          <w:color w:val="000000"/>
          <w:kern w:val="0"/>
          <w:sz w:val="32"/>
          <w:szCs w:val="32"/>
          <w:lang w:eastAsia="zh-CN"/>
        </w:rPr>
        <w:t>司法救助金项目进行自评。</w:t>
      </w:r>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二、项目资金申报及使用情况</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spacing w:line="600" w:lineRule="exact"/>
        <w:ind w:firstLine="640" w:firstLineChars="200"/>
        <w:jc w:val="left"/>
        <w:rPr>
          <w:rFonts w:hint="default" w:ascii="仿宋_GB2312" w:hAnsi="宋体" w:eastAsia="仿宋_GB2312"/>
          <w:color w:val="0000FF"/>
          <w:sz w:val="32"/>
          <w:szCs w:val="32"/>
          <w:lang w:val="en-US" w:eastAsia="zh-CN"/>
        </w:rPr>
      </w:pPr>
      <w:r>
        <w:rPr>
          <w:rFonts w:hint="eastAsia" w:ascii="仿宋_GB2312" w:hAnsi="宋体" w:eastAsia="仿宋_GB2312"/>
          <w:sz w:val="32"/>
          <w:szCs w:val="32"/>
          <w:lang w:val="en-US" w:eastAsia="zh-CN"/>
        </w:rPr>
        <w:t>根据《</w:t>
      </w:r>
      <w:r>
        <w:rPr>
          <w:rFonts w:hint="eastAsia" w:ascii="仿宋_GB2312" w:hAnsi="宋体" w:eastAsia="仿宋_GB2312" w:cs="宋体"/>
          <w:kern w:val="0"/>
          <w:sz w:val="32"/>
          <w:szCs w:val="32"/>
        </w:rPr>
        <w:t>中共壤塘县委政法委员会关于转发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中共阿坝州委政法委员会关于提醒将司法救助资金纳入财政预算的函</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的通知</w:t>
      </w:r>
      <w:r>
        <w:rPr>
          <w:rFonts w:hint="eastAsia" w:ascii="仿宋_GB2312" w:hAnsi="宋体" w:eastAsia="仿宋_GB2312" w:cs="宋体"/>
          <w:kern w:val="0"/>
          <w:sz w:val="32"/>
          <w:szCs w:val="32"/>
          <w:lang w:eastAsia="zh-CN"/>
        </w:rPr>
        <w:t>》的文件要求，每年将</w:t>
      </w:r>
      <w:r>
        <w:rPr>
          <w:rFonts w:hint="eastAsia" w:ascii="仿宋_GB2312" w:hAnsi="宋体" w:eastAsia="仿宋_GB2312" w:cs="宋体"/>
          <w:kern w:val="0"/>
          <w:sz w:val="32"/>
          <w:szCs w:val="32"/>
          <w:lang w:val="en-US" w:eastAsia="zh-CN"/>
        </w:rPr>
        <w:t>3万元的司法救助金纳入财政预算中。</w:t>
      </w:r>
    </w:p>
    <w:p>
      <w:pPr>
        <w:pageBreakBefore w:val="0"/>
        <w:kinsoku/>
        <w:wordWrap/>
        <w:overflowPunct/>
        <w:topLinePunct w:val="0"/>
        <w:bidi w:val="0"/>
        <w:adjustRightInd w:val="0"/>
        <w:snapToGrid w:val="0"/>
        <w:spacing w:line="560" w:lineRule="exact"/>
        <w:ind w:firstLine="720"/>
        <w:textAlignment w:val="auto"/>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pageBreakBefore w:val="0"/>
        <w:kinsoku/>
        <w:wordWrap/>
        <w:overflowPunct/>
        <w:topLinePunct w:val="0"/>
        <w:bidi w:val="0"/>
        <w:spacing w:line="560" w:lineRule="exact"/>
        <w:ind w:firstLine="640" w:firstLineChars="200"/>
        <w:textAlignment w:val="auto"/>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en-US" w:eastAsia="zh-CN"/>
        </w:rPr>
        <w:t>2021年</w:t>
      </w:r>
      <w:r>
        <w:rPr>
          <w:rFonts w:hint="eastAsia" w:ascii="仿宋_GB2312" w:hAnsi="仿宋_GB2312" w:eastAsia="仿宋_GB2312" w:cs="仿宋_GB2312"/>
          <w:color w:val="000000"/>
          <w:kern w:val="0"/>
          <w:sz w:val="32"/>
          <w:szCs w:val="32"/>
          <w:lang w:eastAsia="zh-CN"/>
        </w:rPr>
        <w:t>司法救助金</w:t>
      </w:r>
      <w:r>
        <w:rPr>
          <w:rFonts w:hint="eastAsia" w:ascii="仿宋_GB2312" w:hAnsi="宋体" w:eastAsia="仿宋_GB2312"/>
          <w:sz w:val="32"/>
          <w:szCs w:val="32"/>
          <w:lang w:val="en-US" w:eastAsia="zh-CN"/>
        </w:rPr>
        <w:t>项目资金全年预算数3万元，全年执行数4万元，预算执行率133%。其中全部为财政拨款资金。</w:t>
      </w:r>
    </w:p>
    <w:p>
      <w:pPr>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en-US" w:eastAsia="zh-CN"/>
        </w:rPr>
        <w:t>2021年</w:t>
      </w:r>
      <w:r>
        <w:rPr>
          <w:rFonts w:hint="eastAsia" w:ascii="仿宋_GB2312" w:hAnsi="仿宋_GB2312" w:eastAsia="仿宋_GB2312" w:cs="仿宋_GB2312"/>
          <w:color w:val="000000"/>
          <w:kern w:val="0"/>
          <w:sz w:val="32"/>
          <w:szCs w:val="32"/>
          <w:lang w:eastAsia="zh-CN"/>
        </w:rPr>
        <w:t>司法救助金</w:t>
      </w:r>
      <w:r>
        <w:rPr>
          <w:rFonts w:hint="eastAsia" w:ascii="仿宋_GB2312" w:hAnsi="宋体" w:eastAsia="仿宋_GB2312"/>
          <w:sz w:val="32"/>
          <w:szCs w:val="32"/>
          <w:lang w:val="en-US" w:eastAsia="zh-CN"/>
        </w:rPr>
        <w:t>项目</w:t>
      </w:r>
      <w:r>
        <w:rPr>
          <w:rFonts w:hint="eastAsia" w:ascii="仿宋_GB2312" w:hAnsi="宋体" w:eastAsia="仿宋_GB2312"/>
          <w:sz w:val="32"/>
          <w:szCs w:val="32"/>
          <w:lang w:val="zh-CN"/>
        </w:rPr>
        <w:t>资金到位率</w:t>
      </w:r>
      <w:r>
        <w:rPr>
          <w:rFonts w:hint="eastAsia" w:ascii="仿宋_GB2312" w:hAnsi="宋体" w:eastAsia="仿宋_GB2312"/>
          <w:sz w:val="32"/>
          <w:szCs w:val="32"/>
          <w:lang w:val="en-US" w:eastAsia="zh-CN"/>
        </w:rPr>
        <w:t>100%</w:t>
      </w:r>
      <w:r>
        <w:rPr>
          <w:rFonts w:hint="eastAsia" w:ascii="仿宋_GB2312" w:hAnsi="宋体" w:eastAsia="仿宋_GB2312"/>
          <w:sz w:val="32"/>
          <w:szCs w:val="32"/>
          <w:lang w:val="zh-CN"/>
        </w:rPr>
        <w:t>。</w:t>
      </w:r>
    </w:p>
    <w:p>
      <w:pPr>
        <w:pageBreakBefore w:val="0"/>
        <w:kinsoku/>
        <w:wordWrap/>
        <w:overflowPunct/>
        <w:topLinePunct w:val="0"/>
        <w:bidi w:val="0"/>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en-US" w:eastAsia="zh-CN"/>
        </w:rPr>
        <w:t>我院严格按照《人民检察院国家司法救助工作细则》文件规定使用专项资金。</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司法救助金的发放，严格按照《人民检察院国家司法救助工作细则》的规定。</w:t>
      </w:r>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三、项目实施及管理情况</w:t>
      </w:r>
    </w:p>
    <w:p>
      <w:pPr>
        <w:pageBreakBefore w:val="0"/>
        <w:kinsoku/>
        <w:wordWrap/>
        <w:overflowPunct/>
        <w:topLinePunct w:val="0"/>
        <w:bidi w:val="0"/>
        <w:adjustRightInd w:val="0"/>
        <w:snapToGrid w:val="0"/>
        <w:spacing w:line="560" w:lineRule="exact"/>
        <w:ind w:firstLine="720"/>
        <w:textAlignment w:val="auto"/>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pageBreakBefore w:val="0"/>
        <w:numPr>
          <w:ilvl w:val="0"/>
          <w:numId w:val="4"/>
        </w:numPr>
        <w:kinsoku/>
        <w:wordWrap/>
        <w:overflowPunct/>
        <w:topLinePunct w:val="0"/>
        <w:bidi w:val="0"/>
        <w:adjustRightInd w:val="0"/>
        <w:snapToGrid w:val="0"/>
        <w:spacing w:line="56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default" w:ascii="楷体_GB2312" w:hAnsi="宋体" w:eastAsia="楷体_GB2312"/>
          <w:b/>
          <w:sz w:val="32"/>
          <w:szCs w:val="32"/>
          <w:lang w:val="en-US" w:eastAsia="zh-CN"/>
        </w:rPr>
      </w:pPr>
      <w:r>
        <w:rPr>
          <w:rFonts w:hint="eastAsia" w:ascii="仿宋_GB2312" w:hAnsi="宋体" w:eastAsia="仿宋_GB2312"/>
          <w:sz w:val="32"/>
          <w:szCs w:val="32"/>
          <w:lang w:val="en-US" w:eastAsia="zh-CN"/>
        </w:rPr>
        <w:t>2021年</w:t>
      </w:r>
      <w:r>
        <w:rPr>
          <w:rFonts w:hint="eastAsia" w:ascii="仿宋_GB2312" w:hAnsi="仿宋_GB2312" w:eastAsia="仿宋_GB2312" w:cs="仿宋_GB2312"/>
          <w:color w:val="000000"/>
          <w:kern w:val="0"/>
          <w:sz w:val="32"/>
          <w:szCs w:val="32"/>
          <w:lang w:eastAsia="zh-CN"/>
        </w:rPr>
        <w:t>司法救助金包括</w:t>
      </w:r>
      <w:r>
        <w:rPr>
          <w:rFonts w:hint="eastAsia" w:ascii="仿宋_GB2312" w:hAnsi="仿宋_GB2312" w:eastAsia="仿宋_GB2312" w:cs="仿宋_GB2312"/>
          <w:color w:val="000000"/>
          <w:kern w:val="0"/>
          <w:sz w:val="32"/>
          <w:szCs w:val="32"/>
          <w:lang w:val="en-US" w:eastAsia="zh-CN"/>
        </w:rPr>
        <w:t>2021年全年支出的司法救助金。</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color w:val="0000FF"/>
          <w:sz w:val="32"/>
          <w:szCs w:val="32"/>
          <w:lang w:val="zh-CN"/>
        </w:rPr>
      </w:pPr>
      <w:r>
        <w:rPr>
          <w:rFonts w:hint="eastAsia" w:ascii="楷体_GB2312" w:hAnsi="宋体" w:eastAsia="楷体_GB2312"/>
          <w:b/>
          <w:sz w:val="32"/>
          <w:szCs w:val="32"/>
          <w:lang w:val="zh-CN"/>
        </w:rPr>
        <w:t>（二）项目管理情况</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sz w:val="32"/>
          <w:szCs w:val="32"/>
          <w:lang w:val="zh-CN"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color w:val="0000FF"/>
          <w:sz w:val="32"/>
          <w:szCs w:val="32"/>
          <w:lang w:val="en-US" w:eastAsia="zh-CN"/>
        </w:rPr>
        <w:t xml:space="preserve">  </w:t>
      </w:r>
      <w:r>
        <w:rPr>
          <w:rFonts w:hint="eastAsia" w:ascii="仿宋_GB2312" w:hAnsi="仿宋_GB2312" w:eastAsia="仿宋_GB2312" w:cs="仿宋_GB2312"/>
          <w:sz w:val="32"/>
          <w:szCs w:val="32"/>
          <w:lang w:eastAsia="zh-CN"/>
        </w:rPr>
        <w:t>由我院第三检察部负责该项工作。</w:t>
      </w:r>
    </w:p>
    <w:p>
      <w:pPr>
        <w:pageBreakBefore w:val="0"/>
        <w:kinsoku/>
        <w:wordWrap/>
        <w:overflowPunct/>
        <w:topLinePunct w:val="0"/>
        <w:bidi w:val="0"/>
        <w:adjustRightInd w:val="0"/>
        <w:snapToGrid w:val="0"/>
        <w:spacing w:line="56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我院每支付一笔</w:t>
      </w:r>
      <w:r>
        <w:rPr>
          <w:rFonts w:hint="eastAsia" w:ascii="仿宋_GB2312" w:hAnsi="仿宋_GB2312" w:eastAsia="仿宋_GB2312" w:cs="仿宋_GB2312"/>
          <w:color w:val="000000"/>
          <w:kern w:val="0"/>
          <w:sz w:val="32"/>
          <w:szCs w:val="32"/>
          <w:lang w:eastAsia="zh-CN"/>
        </w:rPr>
        <w:t>司法救助金，都需通过县委政法委、县财政的审核。</w:t>
      </w:r>
    </w:p>
    <w:p>
      <w:pPr>
        <w:pageBreakBefore w:val="0"/>
        <w:kinsoku/>
        <w:wordWrap/>
        <w:overflowPunct/>
        <w:topLinePunct w:val="0"/>
        <w:bidi w:val="0"/>
        <w:adjustRightInd w:val="0"/>
        <w:snapToGrid w:val="0"/>
        <w:spacing w:line="560" w:lineRule="exact"/>
        <w:ind w:firstLine="720"/>
        <w:textAlignment w:val="auto"/>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1.质量指标：司法救助上报情况年度指标值100%，全年完成值100%；司法救助审查情况年度指标值100%，全年完成值100%；司法救助资金发放情况年度指标值100%，全年完成值133%。</w:t>
      </w:r>
    </w:p>
    <w:p>
      <w:pPr>
        <w:pageBreakBefore w:val="0"/>
        <w:kinsoku/>
        <w:wordWrap/>
        <w:overflowPunct/>
        <w:topLinePunct w:val="0"/>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2.时效指标：资金到位率年度指标值100%，全年完成值100%；项目完成时效年度指标值2021年12月，全年完成值2021年12月。</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3.成本指标：司法救助金经费年度指标值3万元，全年完成值4万元。</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4.社会效益指标：社会稳定和谐发展年度指标值100%，全年完成值100%。</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5.可持续影响指标：一直开展司法救助工作年度指标值100%，全年完成值100%。</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6.服务对象满意度指标：对司法救助工作的满意度年度指标值100%，全年完成值100%；对办理司法救助工作人员的满意度年度指标值100%，全年完成值100%，达到预期效果；</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000000"/>
          <w:sz w:val="32"/>
          <w:szCs w:val="32"/>
        </w:rPr>
      </w:pPr>
      <w:bookmarkStart w:id="118" w:name="_Toc18302"/>
      <w:r>
        <w:rPr>
          <w:rFonts w:hint="eastAsia" w:ascii="仿宋_GB2312" w:hAnsi="仿宋_GB2312" w:eastAsia="仿宋_GB2312" w:cs="仿宋_GB2312"/>
          <w:sz w:val="32"/>
          <w:szCs w:val="32"/>
          <w:lang w:eastAsia="zh-CN"/>
        </w:rPr>
        <w:t>通过项目实施，</w:t>
      </w:r>
      <w:r>
        <w:rPr>
          <w:rFonts w:hint="eastAsia" w:ascii="仿宋_GB2312" w:hAnsi="仿宋" w:eastAsia="仿宋_GB2312" w:cs="宋体"/>
          <w:kern w:val="0"/>
          <w:sz w:val="32"/>
          <w:szCs w:val="32"/>
          <w:lang w:eastAsia="zh-CN"/>
        </w:rPr>
        <w:t>促进社会和谐稳定，彰显了检察温度。</w:t>
      </w:r>
      <w:bookmarkEnd w:id="118"/>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五、评价结论及建议</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spacing w:line="600" w:lineRule="exact"/>
        <w:ind w:firstLine="640" w:firstLineChars="200"/>
        <w:jc w:val="left"/>
        <w:rPr>
          <w:rFonts w:hint="eastAsia" w:ascii="仿宋_GB2312" w:hAnsi="宋体" w:eastAsia="仿宋_GB2312" w:cs="宋体"/>
          <w:kern w:val="0"/>
          <w:sz w:val="32"/>
          <w:szCs w:val="32"/>
        </w:rPr>
      </w:pP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项目实施，</w:t>
      </w:r>
      <w:r>
        <w:rPr>
          <w:rFonts w:hint="eastAsia" w:ascii="仿宋_GB2312" w:hAnsi="宋体" w:eastAsia="仿宋_GB2312" w:cs="仿宋_GB2312"/>
          <w:i w:val="0"/>
          <w:caps w:val="0"/>
          <w:color w:val="000000"/>
          <w:spacing w:val="0"/>
          <w:sz w:val="32"/>
          <w:szCs w:val="32"/>
          <w:shd w:val="clear" w:fill="FFFFFF"/>
        </w:rPr>
        <w:t>有利于彰显国家人文关怀，维护社会公平正义。司法救助资金主要用于</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eastAsia="zh-CN"/>
        </w:rPr>
        <w:t>帮助</w:t>
      </w:r>
      <w:r>
        <w:rPr>
          <w:rFonts w:hint="eastAsia" w:ascii="仿宋_GB2312" w:hAnsi="宋体" w:eastAsia="仿宋_GB2312" w:cs="宋体"/>
          <w:kern w:val="0"/>
          <w:sz w:val="32"/>
          <w:szCs w:val="32"/>
        </w:rPr>
        <w:t>遭受犯罪侵害或者民事侵权，无法通过诉讼获得有效赔偿，生活面临急迫困难的当事人</w:t>
      </w:r>
      <w:r>
        <w:rPr>
          <w:rFonts w:hint="eastAsia" w:ascii="仿宋_GB2312" w:hAnsi="宋体" w:eastAsia="仿宋_GB2312" w:cs="仿宋_GB2312"/>
          <w:i w:val="0"/>
          <w:caps w:val="0"/>
          <w:color w:val="000000"/>
          <w:spacing w:val="0"/>
          <w:sz w:val="32"/>
          <w:szCs w:val="32"/>
          <w:shd w:val="clear" w:fill="FFFFFF"/>
        </w:rPr>
        <w:t>或其近亲属摆脱困境，改善</w:t>
      </w:r>
      <w:r>
        <w:rPr>
          <w:rFonts w:hint="eastAsia" w:ascii="仿宋_GB2312" w:hAnsi="宋体" w:eastAsia="仿宋_GB2312" w:cs="仿宋_GB2312"/>
          <w:i w:val="0"/>
          <w:caps w:val="0"/>
          <w:color w:val="000000"/>
          <w:spacing w:val="0"/>
          <w:sz w:val="32"/>
          <w:szCs w:val="32"/>
          <w:shd w:val="clear" w:fill="FFFFFF"/>
          <w:lang w:eastAsia="zh-CN"/>
        </w:rPr>
        <w:t>其</w:t>
      </w:r>
      <w:r>
        <w:rPr>
          <w:rFonts w:hint="eastAsia" w:ascii="仿宋_GB2312" w:hAnsi="宋体" w:eastAsia="仿宋_GB2312" w:cs="仿宋_GB2312"/>
          <w:i w:val="0"/>
          <w:caps w:val="0"/>
          <w:color w:val="000000"/>
          <w:spacing w:val="0"/>
          <w:sz w:val="32"/>
          <w:szCs w:val="32"/>
          <w:shd w:val="clear" w:fill="FFFFFF"/>
        </w:rPr>
        <w:t>生产生活状况</w:t>
      </w:r>
      <w:r>
        <w:rPr>
          <w:rFonts w:hint="eastAsia" w:ascii="仿宋_GB2312" w:hAnsi="宋体" w:eastAsia="仿宋_GB2312" w:cs="宋体"/>
          <w:kern w:val="0"/>
          <w:sz w:val="32"/>
          <w:szCs w:val="32"/>
        </w:rPr>
        <w:t>。</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lang w:val="zh-CN"/>
        </w:rPr>
      </w:pPr>
      <w:r>
        <w:rPr>
          <w:rFonts w:hint="eastAsia" w:ascii="仿宋_GB2312" w:hAnsi="Calibri" w:eastAsia="仿宋_GB2312" w:cs="仿宋"/>
          <w:color w:val="000000"/>
          <w:sz w:val="32"/>
          <w:szCs w:val="32"/>
          <w:lang w:eastAsia="zh-CN"/>
        </w:rPr>
        <w:t>缺乏对司法救助制度的宣传，当事人对司法救助制度了解甚少。</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
          <w:color w:val="000000"/>
          <w:sz w:val="32"/>
          <w:szCs w:val="32"/>
        </w:rPr>
      </w:pPr>
      <w:r>
        <w:rPr>
          <w:rFonts w:hint="eastAsia" w:ascii="仿宋_GB2312" w:hAnsi="宋体" w:eastAsia="仿宋_GB2312" w:cs="仿宋_GB2312"/>
          <w:i w:val="0"/>
          <w:caps w:val="0"/>
          <w:color w:val="000000"/>
          <w:spacing w:val="0"/>
          <w:sz w:val="32"/>
          <w:szCs w:val="32"/>
          <w:shd w:val="clear" w:fill="FFFFFF"/>
          <w:lang w:eastAsia="zh-CN"/>
        </w:rPr>
        <w:t>加强</w:t>
      </w:r>
      <w:r>
        <w:rPr>
          <w:rFonts w:hint="eastAsia" w:ascii="仿宋_GB2312" w:hAnsi="宋体" w:eastAsia="仿宋_GB2312" w:cs="仿宋_GB2312"/>
          <w:i w:val="0"/>
          <w:caps w:val="0"/>
          <w:color w:val="000000"/>
          <w:spacing w:val="0"/>
          <w:sz w:val="32"/>
          <w:szCs w:val="32"/>
          <w:shd w:val="clear" w:fill="FFFFFF"/>
        </w:rPr>
        <w:t>司法救助</w:t>
      </w:r>
      <w:r>
        <w:rPr>
          <w:rFonts w:hint="eastAsia" w:ascii="仿宋_GB2312" w:hAnsi="宋体" w:eastAsia="仿宋_GB2312" w:cs="仿宋_GB2312"/>
          <w:i w:val="0"/>
          <w:caps w:val="0"/>
          <w:color w:val="000000"/>
          <w:spacing w:val="0"/>
          <w:sz w:val="32"/>
          <w:szCs w:val="32"/>
          <w:shd w:val="clear" w:fill="FFFFFF"/>
          <w:lang w:eastAsia="zh-CN"/>
        </w:rPr>
        <w:t>制度</w:t>
      </w:r>
      <w:r>
        <w:rPr>
          <w:rFonts w:hint="eastAsia" w:ascii="仿宋_GB2312" w:hAnsi="宋体" w:eastAsia="仿宋_GB2312" w:cs="仿宋_GB2312"/>
          <w:i w:val="0"/>
          <w:caps w:val="0"/>
          <w:color w:val="000000"/>
          <w:spacing w:val="0"/>
          <w:sz w:val="32"/>
          <w:szCs w:val="32"/>
          <w:shd w:val="clear" w:fill="FFFFFF"/>
        </w:rPr>
        <w:t>宣传</w:t>
      </w:r>
      <w:r>
        <w:rPr>
          <w:rFonts w:hint="eastAsia" w:ascii="仿宋_GB2312" w:hAnsi="宋体" w:eastAsia="仿宋_GB2312" w:cs="仿宋_GB2312"/>
          <w:i w:val="0"/>
          <w:caps w:val="0"/>
          <w:color w:val="000000"/>
          <w:spacing w:val="0"/>
          <w:sz w:val="32"/>
          <w:szCs w:val="32"/>
          <w:shd w:val="clear" w:fill="FFFFFF"/>
          <w:lang w:eastAsia="zh-CN"/>
        </w:rPr>
        <w:t>工作的力度。</w:t>
      </w:r>
    </w:p>
    <w:p>
      <w:pPr>
        <w:widowControl/>
        <w:jc w:val="left"/>
        <w:rPr>
          <w:rStyle w:val="24"/>
          <w:rFonts w:ascii="黑体" w:hAnsi="黑体" w:eastAsia="黑体"/>
          <w:b w:val="0"/>
        </w:rPr>
      </w:pPr>
      <w:r>
        <w:rPr>
          <w:rStyle w:val="24"/>
          <w:rFonts w:ascii="黑体" w:hAnsi="黑体" w:eastAsia="黑体"/>
          <w:b w:val="0"/>
        </w:rPr>
        <w:br w:type="page"/>
      </w: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附件2</w:t>
      </w:r>
    </w:p>
    <w:p>
      <w:pPr>
        <w:spacing w:line="600" w:lineRule="exact"/>
        <w:jc w:val="center"/>
        <w:outlineLvl w:val="0"/>
        <w:rPr>
          <w:rStyle w:val="24"/>
          <w:rFonts w:ascii="黑体" w:hAnsi="黑体" w:eastAsia="黑体"/>
          <w:b w:val="0"/>
        </w:rPr>
      </w:pPr>
      <w:bookmarkStart w:id="119" w:name="_Toc79163635"/>
      <w:bookmarkStart w:id="120" w:name="_Toc15396618"/>
      <w:bookmarkStart w:id="121" w:name="_Toc14136"/>
      <w:r>
        <w:rPr>
          <w:rFonts w:hint="eastAsia" w:ascii="黑体" w:hAnsi="黑体" w:eastAsia="黑体"/>
          <w:color w:val="000000"/>
          <w:sz w:val="44"/>
          <w:szCs w:val="44"/>
        </w:rPr>
        <w:t>第</w:t>
      </w:r>
      <w:r>
        <w:rPr>
          <w:rStyle w:val="24"/>
          <w:rFonts w:hint="eastAsia" w:ascii="黑体" w:hAnsi="黑体" w:eastAsia="黑体"/>
          <w:b w:val="0"/>
        </w:rPr>
        <w:t>五部分</w:t>
      </w:r>
      <w:r>
        <w:rPr>
          <w:rStyle w:val="24"/>
          <w:rFonts w:ascii="黑体" w:hAnsi="黑体" w:eastAsia="黑体"/>
          <w:b w:val="0"/>
        </w:rPr>
        <w:t xml:space="preserve"> </w:t>
      </w:r>
      <w:r>
        <w:rPr>
          <w:rStyle w:val="24"/>
          <w:rFonts w:hint="eastAsia" w:ascii="黑体" w:hAnsi="黑体" w:eastAsia="黑体"/>
          <w:b w:val="0"/>
        </w:rPr>
        <w:t>附表</w:t>
      </w:r>
      <w:bookmarkEnd w:id="116"/>
      <w:bookmarkEnd w:id="119"/>
      <w:bookmarkEnd w:id="120"/>
      <w:bookmarkEnd w:id="121"/>
    </w:p>
    <w:p>
      <w:pPr>
        <w:pStyle w:val="4"/>
        <w:rPr>
          <w:rFonts w:ascii="仿宋" w:hAnsi="仿宋" w:eastAsia="仿宋"/>
          <w:color w:val="000000"/>
        </w:rPr>
      </w:pPr>
      <w:bookmarkStart w:id="122" w:name="_Toc79163636"/>
      <w:bookmarkStart w:id="123" w:name="_Toc21471"/>
      <w:bookmarkStart w:id="12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122"/>
      <w:bookmarkEnd w:id="123"/>
      <w:bookmarkEnd w:id="124"/>
    </w:p>
    <w:p>
      <w:pPr>
        <w:pStyle w:val="4"/>
        <w:rPr>
          <w:rFonts w:ascii="仿宋" w:hAnsi="仿宋" w:eastAsia="仿宋"/>
          <w:color w:val="000000"/>
        </w:rPr>
      </w:pPr>
      <w:bookmarkStart w:id="125" w:name="_Toc22101"/>
      <w:bookmarkStart w:id="126" w:name="_Toc79163637"/>
      <w:bookmarkStart w:id="127"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125"/>
      <w:bookmarkEnd w:id="126"/>
      <w:bookmarkEnd w:id="127"/>
    </w:p>
    <w:p>
      <w:pPr>
        <w:pStyle w:val="4"/>
        <w:rPr>
          <w:rFonts w:ascii="仿宋" w:hAnsi="仿宋" w:eastAsia="仿宋"/>
          <w:color w:val="000000"/>
        </w:rPr>
      </w:pPr>
      <w:bookmarkStart w:id="128" w:name="_Toc15396621"/>
      <w:bookmarkStart w:id="129" w:name="_Toc12764"/>
      <w:bookmarkStart w:id="130" w:name="_Toc79163638"/>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128"/>
      <w:bookmarkEnd w:id="129"/>
      <w:bookmarkEnd w:id="130"/>
    </w:p>
    <w:p>
      <w:pPr>
        <w:pStyle w:val="4"/>
        <w:rPr>
          <w:rFonts w:ascii="仿宋" w:hAnsi="仿宋" w:eastAsia="仿宋"/>
          <w:b w:val="0"/>
          <w:color w:val="000000"/>
        </w:rPr>
      </w:pPr>
      <w:bookmarkStart w:id="131" w:name="_Toc79163639"/>
      <w:bookmarkStart w:id="132" w:name="_Toc29185"/>
      <w:bookmarkStart w:id="13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31"/>
      <w:bookmarkEnd w:id="132"/>
      <w:bookmarkEnd w:id="133"/>
    </w:p>
    <w:p>
      <w:pPr>
        <w:pStyle w:val="4"/>
        <w:rPr>
          <w:rStyle w:val="25"/>
          <w:rFonts w:ascii="仿宋" w:hAnsi="仿宋" w:eastAsia="仿宋"/>
          <w:b w:val="0"/>
          <w:bCs w:val="0"/>
        </w:rPr>
      </w:pPr>
      <w:bookmarkStart w:id="134" w:name="_Toc1818"/>
      <w:bookmarkStart w:id="135" w:name="_Toc79163640"/>
      <w:bookmarkStart w:id="13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134"/>
      <w:bookmarkEnd w:id="135"/>
      <w:bookmarkEnd w:id="136"/>
      <w:bookmarkStart w:id="137" w:name="_Toc15396624"/>
    </w:p>
    <w:p>
      <w:pPr>
        <w:pStyle w:val="4"/>
        <w:rPr>
          <w:rFonts w:ascii="仿宋" w:hAnsi="仿宋" w:eastAsia="仿宋"/>
          <w:color w:val="000000"/>
        </w:rPr>
      </w:pPr>
      <w:bookmarkStart w:id="138" w:name="_Toc7717"/>
      <w:bookmarkStart w:id="139" w:name="_Toc79163641"/>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37"/>
      <w:bookmarkEnd w:id="138"/>
      <w:bookmarkEnd w:id="139"/>
    </w:p>
    <w:p>
      <w:pPr>
        <w:pStyle w:val="4"/>
        <w:rPr>
          <w:rFonts w:ascii="仿宋" w:hAnsi="仿宋" w:eastAsia="仿宋"/>
          <w:color w:val="000000"/>
        </w:rPr>
      </w:pPr>
      <w:bookmarkStart w:id="140" w:name="_Toc4404"/>
      <w:bookmarkStart w:id="141" w:name="_Toc15396625"/>
      <w:bookmarkStart w:id="142" w:name="_Toc79163642"/>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40"/>
      <w:bookmarkEnd w:id="141"/>
      <w:bookmarkEnd w:id="142"/>
    </w:p>
    <w:p>
      <w:pPr>
        <w:pStyle w:val="4"/>
        <w:rPr>
          <w:rFonts w:ascii="仿宋" w:hAnsi="仿宋" w:eastAsia="仿宋"/>
          <w:color w:val="000000"/>
        </w:rPr>
      </w:pPr>
      <w:bookmarkStart w:id="143" w:name="_Toc7652"/>
      <w:bookmarkStart w:id="144" w:name="_Toc15396626"/>
      <w:bookmarkStart w:id="145" w:name="_Toc79163643"/>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43"/>
      <w:bookmarkEnd w:id="144"/>
      <w:bookmarkEnd w:id="145"/>
    </w:p>
    <w:p>
      <w:pPr>
        <w:pStyle w:val="4"/>
        <w:rPr>
          <w:rFonts w:ascii="仿宋" w:hAnsi="仿宋" w:eastAsia="仿宋"/>
          <w:color w:val="000000"/>
        </w:rPr>
      </w:pPr>
      <w:bookmarkStart w:id="146" w:name="_Toc79163644"/>
      <w:bookmarkStart w:id="147" w:name="_Toc15396627"/>
      <w:bookmarkStart w:id="148" w:name="_Toc23276"/>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46"/>
      <w:bookmarkEnd w:id="147"/>
      <w:bookmarkEnd w:id="148"/>
    </w:p>
    <w:p>
      <w:pPr>
        <w:pStyle w:val="4"/>
        <w:rPr>
          <w:rFonts w:ascii="仿宋" w:hAnsi="仿宋" w:eastAsia="仿宋"/>
          <w:color w:val="000000"/>
        </w:rPr>
      </w:pPr>
      <w:bookmarkStart w:id="149" w:name="_Toc31870"/>
      <w:bookmarkStart w:id="150" w:name="_Toc15396628"/>
      <w:bookmarkStart w:id="151" w:name="_Toc79163645"/>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49"/>
      <w:bookmarkEnd w:id="150"/>
      <w:bookmarkEnd w:id="151"/>
    </w:p>
    <w:p>
      <w:pPr>
        <w:pStyle w:val="4"/>
        <w:rPr>
          <w:rFonts w:ascii="仿宋" w:hAnsi="仿宋" w:eastAsia="仿宋"/>
          <w:color w:val="000000"/>
        </w:rPr>
      </w:pPr>
      <w:bookmarkStart w:id="152" w:name="_Toc15396629"/>
      <w:bookmarkStart w:id="153" w:name="_Toc79163646"/>
      <w:bookmarkStart w:id="154" w:name="_Toc184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52"/>
      <w:bookmarkEnd w:id="153"/>
      <w:bookmarkEnd w:id="154"/>
    </w:p>
    <w:p>
      <w:pPr>
        <w:pStyle w:val="4"/>
        <w:rPr>
          <w:rFonts w:ascii="仿宋" w:hAnsi="仿宋" w:eastAsia="仿宋"/>
          <w:color w:val="000000"/>
        </w:rPr>
      </w:pPr>
      <w:bookmarkStart w:id="155" w:name="_Toc15396630"/>
      <w:bookmarkStart w:id="156" w:name="_Toc79163647"/>
      <w:bookmarkStart w:id="157" w:name="_Toc26189"/>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55"/>
      <w:bookmarkEnd w:id="156"/>
      <w:bookmarkEnd w:id="157"/>
    </w:p>
    <w:p>
      <w:pPr>
        <w:pStyle w:val="4"/>
        <w:rPr>
          <w:rStyle w:val="25"/>
          <w:rFonts w:ascii="仿宋" w:hAnsi="仿宋" w:eastAsia="仿宋"/>
          <w:b w:val="0"/>
          <w:bCs w:val="0"/>
        </w:rPr>
      </w:pPr>
      <w:bookmarkStart w:id="158" w:name="_Toc79163648"/>
      <w:bookmarkStart w:id="159" w:name="_Toc5280"/>
      <w:bookmarkStart w:id="16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有资本经营预算财政拨款支出决算表</w:t>
      </w:r>
      <w:bookmarkEnd w:id="158"/>
      <w:bookmarkEnd w:id="159"/>
      <w:bookmarkEnd w:id="160"/>
    </w:p>
    <w:p>
      <w:pPr>
        <w:pStyle w:val="4"/>
        <w:rPr>
          <w:rStyle w:val="25"/>
          <w:rFonts w:ascii="仿宋" w:hAnsi="仿宋" w:eastAsia="仿宋"/>
          <w:b w:val="0"/>
          <w:bCs w:val="0"/>
        </w:rPr>
      </w:pPr>
      <w:bookmarkStart w:id="161" w:name="_Toc2769"/>
      <w:bookmarkStart w:id="162" w:name="_Toc79163649"/>
      <w:r>
        <w:rPr>
          <w:rStyle w:val="25"/>
          <w:rFonts w:hint="eastAsia" w:ascii="仿宋" w:hAnsi="仿宋" w:eastAsia="仿宋"/>
          <w:b w:val="0"/>
          <w:bCs w:val="0"/>
        </w:rPr>
        <w:t>十四、国有资本经营预算财政拨款支出决算表</w:t>
      </w:r>
      <w:bookmarkEnd w:id="161"/>
      <w:bookmarkEnd w:id="162"/>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t>25</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31038"/>
    <w:multiLevelType w:val="singleLevel"/>
    <w:tmpl w:val="93031038"/>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mI0YzdmZGEzYTExMGYwYjUxYTE1MzliODFlYT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6640"/>
    <w:rsid w:val="00235629"/>
    <w:rsid w:val="00256262"/>
    <w:rsid w:val="00260C38"/>
    <w:rsid w:val="002616C0"/>
    <w:rsid w:val="00264FA2"/>
    <w:rsid w:val="00265372"/>
    <w:rsid w:val="002662AA"/>
    <w:rsid w:val="0027224D"/>
    <w:rsid w:val="00280496"/>
    <w:rsid w:val="00294DC9"/>
    <w:rsid w:val="00295495"/>
    <w:rsid w:val="002A31DE"/>
    <w:rsid w:val="002B2613"/>
    <w:rsid w:val="002D6D05"/>
    <w:rsid w:val="002F1818"/>
    <w:rsid w:val="002F567B"/>
    <w:rsid w:val="003216A9"/>
    <w:rsid w:val="00335A74"/>
    <w:rsid w:val="0036561B"/>
    <w:rsid w:val="0037013F"/>
    <w:rsid w:val="00380C92"/>
    <w:rsid w:val="00394E7F"/>
    <w:rsid w:val="003A484F"/>
    <w:rsid w:val="003A4883"/>
    <w:rsid w:val="003B0BE0"/>
    <w:rsid w:val="003B0C1B"/>
    <w:rsid w:val="003B688C"/>
    <w:rsid w:val="003C0291"/>
    <w:rsid w:val="003C39AE"/>
    <w:rsid w:val="003C7B60"/>
    <w:rsid w:val="003D0C0F"/>
    <w:rsid w:val="003D1FB2"/>
    <w:rsid w:val="003D53FE"/>
    <w:rsid w:val="003D66DA"/>
    <w:rsid w:val="003E1310"/>
    <w:rsid w:val="003E6F55"/>
    <w:rsid w:val="003E6FE4"/>
    <w:rsid w:val="00406254"/>
    <w:rsid w:val="004223DE"/>
    <w:rsid w:val="00434489"/>
    <w:rsid w:val="00437085"/>
    <w:rsid w:val="00443880"/>
    <w:rsid w:val="00445607"/>
    <w:rsid w:val="004464F4"/>
    <w:rsid w:val="00471401"/>
    <w:rsid w:val="00473F31"/>
    <w:rsid w:val="00476DF9"/>
    <w:rsid w:val="0048263A"/>
    <w:rsid w:val="00487E5D"/>
    <w:rsid w:val="004A711F"/>
    <w:rsid w:val="004B199D"/>
    <w:rsid w:val="004B4690"/>
    <w:rsid w:val="004D5479"/>
    <w:rsid w:val="004E0A2D"/>
    <w:rsid w:val="004E206B"/>
    <w:rsid w:val="004E6DF7"/>
    <w:rsid w:val="004F0FBD"/>
    <w:rsid w:val="00505A47"/>
    <w:rsid w:val="00512FDA"/>
    <w:rsid w:val="00520DA0"/>
    <w:rsid w:val="005269A7"/>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5F81"/>
    <w:rsid w:val="0065271A"/>
    <w:rsid w:val="0066343B"/>
    <w:rsid w:val="00664777"/>
    <w:rsid w:val="006748A4"/>
    <w:rsid w:val="00681A31"/>
    <w:rsid w:val="00683E73"/>
    <w:rsid w:val="006A3141"/>
    <w:rsid w:val="006A5E34"/>
    <w:rsid w:val="006B2422"/>
    <w:rsid w:val="006B2B9A"/>
    <w:rsid w:val="006C1937"/>
    <w:rsid w:val="006E2684"/>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4A41"/>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32E0"/>
    <w:rsid w:val="00871F71"/>
    <w:rsid w:val="00872FD8"/>
    <w:rsid w:val="00885AF4"/>
    <w:rsid w:val="00892977"/>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6265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11E4"/>
    <w:rsid w:val="00B03C9D"/>
    <w:rsid w:val="00B060AE"/>
    <w:rsid w:val="00B10517"/>
    <w:rsid w:val="00B14E76"/>
    <w:rsid w:val="00B161B8"/>
    <w:rsid w:val="00B2048C"/>
    <w:rsid w:val="00B20FF3"/>
    <w:rsid w:val="00B310B9"/>
    <w:rsid w:val="00B35F3F"/>
    <w:rsid w:val="00B36CBB"/>
    <w:rsid w:val="00B425E0"/>
    <w:rsid w:val="00B440AA"/>
    <w:rsid w:val="00B44B70"/>
    <w:rsid w:val="00B53C56"/>
    <w:rsid w:val="00B54DB4"/>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4B0"/>
    <w:rsid w:val="00DC7CBA"/>
    <w:rsid w:val="00DD73B7"/>
    <w:rsid w:val="00DF1C39"/>
    <w:rsid w:val="00DF28BC"/>
    <w:rsid w:val="00DF34B9"/>
    <w:rsid w:val="00E01053"/>
    <w:rsid w:val="00E07ACF"/>
    <w:rsid w:val="00E32CAD"/>
    <w:rsid w:val="00E331A1"/>
    <w:rsid w:val="00E33202"/>
    <w:rsid w:val="00E336A9"/>
    <w:rsid w:val="00E472B1"/>
    <w:rsid w:val="00E50624"/>
    <w:rsid w:val="00E568DF"/>
    <w:rsid w:val="00E64269"/>
    <w:rsid w:val="00E70975"/>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52C9"/>
    <w:rsid w:val="00FA23E8"/>
    <w:rsid w:val="00FD3CC1"/>
    <w:rsid w:val="00FF1E02"/>
    <w:rsid w:val="00FF30B4"/>
    <w:rsid w:val="030F57D2"/>
    <w:rsid w:val="0A1B3F65"/>
    <w:rsid w:val="0A2032A3"/>
    <w:rsid w:val="0E990EFC"/>
    <w:rsid w:val="0FB75ADD"/>
    <w:rsid w:val="10C055FF"/>
    <w:rsid w:val="118107EC"/>
    <w:rsid w:val="11DA3D05"/>
    <w:rsid w:val="12AF4946"/>
    <w:rsid w:val="12C852D6"/>
    <w:rsid w:val="14BF71E2"/>
    <w:rsid w:val="16A42B33"/>
    <w:rsid w:val="16BB723D"/>
    <w:rsid w:val="1D155CEE"/>
    <w:rsid w:val="240371BF"/>
    <w:rsid w:val="25757CD2"/>
    <w:rsid w:val="29FD04D3"/>
    <w:rsid w:val="2A47721F"/>
    <w:rsid w:val="2E0122DE"/>
    <w:rsid w:val="2E3D6528"/>
    <w:rsid w:val="2E994780"/>
    <w:rsid w:val="319F7F4E"/>
    <w:rsid w:val="31E05216"/>
    <w:rsid w:val="326B7F22"/>
    <w:rsid w:val="34F9587C"/>
    <w:rsid w:val="37446741"/>
    <w:rsid w:val="3805581C"/>
    <w:rsid w:val="3C03403F"/>
    <w:rsid w:val="44FE772F"/>
    <w:rsid w:val="45336E8D"/>
    <w:rsid w:val="489947A5"/>
    <w:rsid w:val="4D782049"/>
    <w:rsid w:val="4ECE2238"/>
    <w:rsid w:val="512601D1"/>
    <w:rsid w:val="55C776C9"/>
    <w:rsid w:val="59CF5461"/>
    <w:rsid w:val="6B146AB5"/>
    <w:rsid w:val="6C4A05C8"/>
    <w:rsid w:val="6C635F46"/>
    <w:rsid w:val="6E64423F"/>
    <w:rsid w:val="6EF2710D"/>
    <w:rsid w:val="72734D90"/>
    <w:rsid w:val="79A436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6"/>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99"/>
    <w:pPr>
      <w:spacing w:beforeLines="30"/>
    </w:pPr>
    <w:rPr>
      <w:rFonts w:ascii="仿宋_GB2312" w:eastAsia="仿宋_GB2312"/>
      <w:kern w:val="0"/>
      <w:sz w:val="24"/>
      <w:szCs w:val="20"/>
      <w:lang w:val="zh-CN"/>
    </w:rPr>
  </w:style>
  <w:style w:type="paragraph" w:styleId="6">
    <w:name w:val="toc 7"/>
    <w:basedOn w:val="1"/>
    <w:next w:val="1"/>
    <w:unhideWhenUsed/>
    <w:qFormat/>
    <w:uiPriority w:val="39"/>
    <w:pPr>
      <w:ind w:left="1260"/>
      <w:jc w:val="left"/>
    </w:pPr>
    <w:rPr>
      <w:rFonts w:asciiTheme="minorHAnsi" w:eastAsiaTheme="minorHAnsi"/>
      <w:sz w:val="18"/>
      <w:szCs w:val="18"/>
    </w:rPr>
  </w:style>
  <w:style w:type="paragraph" w:styleId="7">
    <w:name w:val="toc 5"/>
    <w:basedOn w:val="1"/>
    <w:next w:val="1"/>
    <w:unhideWhenUsed/>
    <w:qFormat/>
    <w:uiPriority w:val="39"/>
    <w:pPr>
      <w:ind w:left="840"/>
      <w:jc w:val="left"/>
    </w:pPr>
    <w:rPr>
      <w:rFonts w:asciiTheme="minorHAnsi" w:eastAsiaTheme="minorHAnsi"/>
      <w:sz w:val="18"/>
      <w:szCs w:val="18"/>
    </w:rPr>
  </w:style>
  <w:style w:type="paragraph" w:styleId="8">
    <w:name w:val="toc 3"/>
    <w:basedOn w:val="1"/>
    <w:next w:val="1"/>
    <w:unhideWhenUsed/>
    <w:qFormat/>
    <w:uiPriority w:val="39"/>
    <w:pPr>
      <w:ind w:left="420"/>
      <w:jc w:val="left"/>
    </w:pPr>
    <w:rPr>
      <w:rFonts w:asciiTheme="minorHAnsi" w:eastAsiaTheme="minorHAnsi"/>
      <w:i/>
      <w:iCs/>
      <w:sz w:val="20"/>
      <w:szCs w:val="20"/>
    </w:rPr>
  </w:style>
  <w:style w:type="paragraph" w:styleId="9">
    <w:name w:val="toc 8"/>
    <w:basedOn w:val="1"/>
    <w:next w:val="1"/>
    <w:unhideWhenUsed/>
    <w:qFormat/>
    <w:uiPriority w:val="39"/>
    <w:pPr>
      <w:ind w:left="1470"/>
      <w:jc w:val="left"/>
    </w:pPr>
    <w:rPr>
      <w:rFonts w:asciiTheme="minorHAnsi" w:eastAsiaTheme="minorHAnsi"/>
      <w:sz w:val="18"/>
      <w:szCs w:val="18"/>
    </w:rPr>
  </w:style>
  <w:style w:type="paragraph" w:styleId="10">
    <w:name w:val="Balloon Text"/>
    <w:basedOn w:val="1"/>
    <w:link w:val="28"/>
    <w:semiHidden/>
    <w:unhideWhenUsed/>
    <w:qFormat/>
    <w:uiPriority w:val="99"/>
    <w:rPr>
      <w:sz w:val="18"/>
      <w:szCs w:val="18"/>
    </w:rPr>
  </w:style>
  <w:style w:type="paragraph" w:styleId="11">
    <w:name w:val="footer"/>
    <w:basedOn w:val="1"/>
    <w:link w:val="32"/>
    <w:qFormat/>
    <w:uiPriority w:val="99"/>
    <w:pPr>
      <w:tabs>
        <w:tab w:val="center" w:pos="4153"/>
        <w:tab w:val="right" w:pos="8306"/>
      </w:tabs>
      <w:snapToGrid w:val="0"/>
      <w:jc w:val="left"/>
    </w:pPr>
    <w:rPr>
      <w:rFonts w:ascii="Calibri" w:hAnsi="Calibri"/>
      <w:kern w:val="0"/>
      <w:sz w:val="18"/>
      <w:szCs w:val="20"/>
      <w:lang w:val="zh-CN"/>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20"/>
      <w:lang w:val="zh-CN"/>
    </w:rPr>
  </w:style>
  <w:style w:type="paragraph" w:styleId="13">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4">
    <w:name w:val="toc 4"/>
    <w:basedOn w:val="1"/>
    <w:next w:val="1"/>
    <w:unhideWhenUsed/>
    <w:qFormat/>
    <w:uiPriority w:val="39"/>
    <w:pPr>
      <w:ind w:left="630"/>
      <w:jc w:val="left"/>
    </w:pPr>
    <w:rPr>
      <w:rFonts w:asciiTheme="minorHAnsi" w:eastAsiaTheme="minorHAnsi"/>
      <w:sz w:val="18"/>
      <w:szCs w:val="18"/>
    </w:rPr>
  </w:style>
  <w:style w:type="paragraph" w:styleId="15">
    <w:name w:val="toc 6"/>
    <w:basedOn w:val="1"/>
    <w:next w:val="1"/>
    <w:unhideWhenUsed/>
    <w:qFormat/>
    <w:uiPriority w:val="39"/>
    <w:pPr>
      <w:ind w:left="1050"/>
      <w:jc w:val="left"/>
    </w:pPr>
    <w:rPr>
      <w:rFonts w:asciiTheme="minorHAnsi" w:eastAsiaTheme="minorHAnsi"/>
      <w:sz w:val="18"/>
      <w:szCs w:val="18"/>
    </w:rPr>
  </w:style>
  <w:style w:type="paragraph" w:styleId="16">
    <w:name w:val="toc 2"/>
    <w:basedOn w:val="1"/>
    <w:next w:val="1"/>
    <w:unhideWhenUsed/>
    <w:qFormat/>
    <w:uiPriority w:val="39"/>
    <w:pPr>
      <w:ind w:left="210"/>
      <w:jc w:val="left"/>
    </w:pPr>
    <w:rPr>
      <w:rFonts w:asciiTheme="minorHAnsi" w:eastAsiaTheme="minorHAnsi"/>
      <w:smallCaps/>
      <w:sz w:val="20"/>
      <w:szCs w:val="20"/>
    </w:rPr>
  </w:style>
  <w:style w:type="paragraph" w:styleId="17">
    <w:name w:val="toc 9"/>
    <w:basedOn w:val="1"/>
    <w:next w:val="1"/>
    <w:unhideWhenUsed/>
    <w:qFormat/>
    <w:uiPriority w:val="39"/>
    <w:pPr>
      <w:ind w:left="1680"/>
      <w:jc w:val="left"/>
    </w:pPr>
    <w:rPr>
      <w:rFonts w:asciiTheme="minorHAnsi" w:eastAsiaTheme="minorHAnsi"/>
      <w:sz w:val="18"/>
      <w:szCs w:val="18"/>
    </w:rPr>
  </w:style>
  <w:style w:type="paragraph" w:styleId="18">
    <w:name w:val="Normal (Web)"/>
    <w:basedOn w:val="1"/>
    <w:next w:val="1"/>
    <w:semiHidden/>
    <w:unhideWhenUsed/>
    <w:qFormat/>
    <w:uiPriority w:val="99"/>
    <w:pPr>
      <w:spacing w:before="0" w:beforeAutospacing="1" w:after="0" w:afterAutospacing="1"/>
      <w:ind w:left="0" w:right="0"/>
      <w:jc w:val="left"/>
    </w:pPr>
    <w:rPr>
      <w:kern w:val="0"/>
      <w:sz w:val="24"/>
      <w:lang w:val="en-US" w:eastAsia="zh-CN" w:bidi="ar"/>
    </w:rPr>
  </w:style>
  <w:style w:type="character" w:styleId="21">
    <w:name w:val="Strong"/>
    <w:basedOn w:val="20"/>
    <w:qFormat/>
    <w:uiPriority w:val="99"/>
    <w:rPr>
      <w:rFonts w:cs="Times New Roman"/>
      <w:b/>
    </w:rPr>
  </w:style>
  <w:style w:type="character" w:styleId="22">
    <w:name w:val="Hyperlink"/>
    <w:basedOn w:val="20"/>
    <w:unhideWhenUsed/>
    <w:qFormat/>
    <w:uiPriority w:val="99"/>
    <w:rPr>
      <w:rFonts w:cs="Times New Roman"/>
      <w:color w:val="0000FF"/>
      <w:u w:val="single"/>
    </w:rPr>
  </w:style>
  <w:style w:type="paragraph" w:customStyle="1" w:styleId="23">
    <w:name w:val="列出段落1"/>
    <w:basedOn w:val="1"/>
    <w:qFormat/>
    <w:uiPriority w:val="34"/>
    <w:pPr>
      <w:ind w:firstLine="420" w:firstLineChars="200"/>
    </w:pPr>
    <w:rPr>
      <w:rFonts w:ascii="Calibri" w:hAnsi="Calibri" w:eastAsia="宋体" w:cs="Times New Roman"/>
    </w:rPr>
  </w:style>
  <w:style w:type="character" w:customStyle="1" w:styleId="24">
    <w:name w:val="标题 1 Char"/>
    <w:basedOn w:val="20"/>
    <w:link w:val="3"/>
    <w:qFormat/>
    <w:locked/>
    <w:uiPriority w:val="9"/>
    <w:rPr>
      <w:rFonts w:ascii="Times New Roman" w:hAnsi="Times New Roman" w:cs="Times New Roman"/>
      <w:b/>
      <w:bCs/>
      <w:kern w:val="44"/>
      <w:sz w:val="44"/>
      <w:szCs w:val="44"/>
    </w:rPr>
  </w:style>
  <w:style w:type="character" w:customStyle="1" w:styleId="25">
    <w:name w:val="标题 2 Char"/>
    <w:basedOn w:val="20"/>
    <w:link w:val="4"/>
    <w:qFormat/>
    <w:locked/>
    <w:uiPriority w:val="9"/>
    <w:rPr>
      <w:rFonts w:ascii="Cambria" w:hAnsi="Cambria" w:eastAsia="宋体" w:cs="Times New Roman"/>
      <w:b/>
      <w:bCs/>
      <w:kern w:val="2"/>
      <w:sz w:val="32"/>
      <w:szCs w:val="32"/>
    </w:rPr>
  </w:style>
  <w:style w:type="character" w:customStyle="1" w:styleId="26">
    <w:name w:val="标题 3 Char"/>
    <w:basedOn w:val="20"/>
    <w:link w:val="5"/>
    <w:qFormat/>
    <w:locked/>
    <w:uiPriority w:val="9"/>
    <w:rPr>
      <w:rFonts w:ascii="Times New Roman" w:hAnsi="Times New Roman" w:cs="Times New Roman"/>
      <w:b/>
      <w:bCs/>
      <w:kern w:val="2"/>
      <w:sz w:val="32"/>
      <w:szCs w:val="32"/>
    </w:rPr>
  </w:style>
  <w:style w:type="character" w:customStyle="1" w:styleId="27">
    <w:name w:val="Body Text Char"/>
    <w:basedOn w:val="20"/>
    <w:semiHidden/>
    <w:qFormat/>
    <w:uiPriority w:val="99"/>
    <w:rPr>
      <w:rFonts w:ascii="Times New Roman" w:hAnsi="Times New Roman" w:cs="Times New Roman"/>
      <w:sz w:val="24"/>
      <w:szCs w:val="24"/>
    </w:rPr>
  </w:style>
  <w:style w:type="character" w:customStyle="1" w:styleId="28">
    <w:name w:val="批注框文本 Char"/>
    <w:basedOn w:val="20"/>
    <w:link w:val="10"/>
    <w:semiHidden/>
    <w:qFormat/>
    <w:locked/>
    <w:uiPriority w:val="99"/>
    <w:rPr>
      <w:rFonts w:ascii="Times New Roman" w:hAnsi="Times New Roman" w:cs="Times New Roman"/>
      <w:kern w:val="2"/>
      <w:sz w:val="18"/>
      <w:szCs w:val="18"/>
    </w:rPr>
  </w:style>
  <w:style w:type="character" w:customStyle="1" w:styleId="29">
    <w:name w:val="Footer Char"/>
    <w:basedOn w:val="20"/>
    <w:semiHidden/>
    <w:qFormat/>
    <w:uiPriority w:val="99"/>
    <w:rPr>
      <w:rFonts w:ascii="Times New Roman" w:hAnsi="Times New Roman" w:cs="Times New Roman"/>
      <w:sz w:val="18"/>
      <w:szCs w:val="18"/>
    </w:rPr>
  </w:style>
  <w:style w:type="character" w:customStyle="1" w:styleId="30">
    <w:name w:val="Header Char"/>
    <w:basedOn w:val="20"/>
    <w:semiHidden/>
    <w:qFormat/>
    <w:uiPriority w:val="99"/>
    <w:rPr>
      <w:rFonts w:ascii="Times New Roman" w:hAnsi="Times New Roman" w:cs="Times New Roman"/>
      <w:sz w:val="18"/>
      <w:szCs w:val="18"/>
    </w:rPr>
  </w:style>
  <w:style w:type="character" w:customStyle="1" w:styleId="31">
    <w:name w:val="页眉 Char"/>
    <w:link w:val="12"/>
    <w:semiHidden/>
    <w:qFormat/>
    <w:locked/>
    <w:uiPriority w:val="99"/>
    <w:rPr>
      <w:sz w:val="18"/>
    </w:rPr>
  </w:style>
  <w:style w:type="character" w:customStyle="1" w:styleId="32">
    <w:name w:val="页脚 Char"/>
    <w:link w:val="11"/>
    <w:qFormat/>
    <w:locked/>
    <w:uiPriority w:val="99"/>
    <w:rPr>
      <w:sz w:val="18"/>
    </w:rPr>
  </w:style>
  <w:style w:type="character" w:customStyle="1" w:styleId="33">
    <w:name w:val="正文文本 Char"/>
    <w:link w:val="2"/>
    <w:qFormat/>
    <w:locked/>
    <w:uiPriority w:val="99"/>
    <w:rPr>
      <w:rFonts w:ascii="仿宋_GB2312" w:hAnsi="Times New Roman" w:eastAsia="仿宋_GB2312"/>
      <w:sz w:val="24"/>
    </w:rPr>
  </w:style>
  <w:style w:type="paragraph" w:customStyle="1" w:styleId="3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5">
    <w:name w:val="列表段落1"/>
    <w:basedOn w:val="1"/>
    <w:qFormat/>
    <w:uiPriority w:val="34"/>
    <w:pPr>
      <w:ind w:firstLine="420" w:firstLineChars="200"/>
    </w:pPr>
  </w:style>
  <w:style w:type="paragraph" w:customStyle="1" w:styleId="36">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8">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收、支决算变动</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931.38</c:v>
                </c:pt>
                <c:pt idx="1">
                  <c:v>854.83</c:v>
                </c:pt>
              </c:numCache>
            </c:numRef>
          </c:val>
        </c:ser>
        <c:ser>
          <c:idx val="1"/>
          <c:order val="1"/>
          <c:tx>
            <c:strRef>
              <c:f>Sheet1!$C$1</c:f>
              <c:strCache>
                <c:ptCount val="1"/>
                <c:pt idx="0">
                  <c:v>收入</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0">
                  <c:v>867.37</c:v>
                </c:pt>
                <c:pt idx="1">
                  <c:v>854.83</c:v>
                </c:pt>
              </c:numCache>
            </c:numRef>
          </c:val>
        </c:ser>
        <c:dLbls>
          <c:showLegendKey val="0"/>
          <c:showVal val="0"/>
          <c:showCatName val="0"/>
          <c:showSerName val="0"/>
          <c:showPercent val="0"/>
          <c:showBubbleSize val="0"/>
        </c:dLbls>
        <c:gapWidth val="219"/>
        <c:overlap val="-27"/>
        <c:axId val="636985194"/>
        <c:axId val="456654258"/>
      </c:barChart>
      <c:catAx>
        <c:axId val="6369851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654258"/>
        <c:crosses val="autoZero"/>
        <c:auto val="1"/>
        <c:lblAlgn val="ctr"/>
        <c:lblOffset val="100"/>
        <c:noMultiLvlLbl val="0"/>
      </c:catAx>
      <c:valAx>
        <c:axId val="4566542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98519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一般公共预算财政拨款收入</c:v>
                </c:pt>
                <c:pt idx="1">
                  <c:v>政府性基金预算财政拨款收入</c:v>
                </c:pt>
                <c:pt idx="2">
                  <c:v>上级补助收入</c:v>
                </c:pt>
                <c:pt idx="3">
                  <c:v>附属单位上缴收入</c:v>
                </c:pt>
              </c:strCache>
            </c:strRef>
          </c:cat>
          <c:val>
            <c:numRef>
              <c:f>Sheet1!$B$2:$B$5</c:f>
              <c:numCache>
                <c:formatCode>General</c:formatCode>
                <c:ptCount val="4"/>
                <c:pt idx="0">
                  <c:v>8.2</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624.63</c:v>
                </c:pt>
                <c:pt idx="1">
                  <c:v>230.2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931.38</c:v>
                </c:pt>
                <c:pt idx="1">
                  <c:v>854.83</c:v>
                </c:pt>
              </c:numCache>
            </c:numRef>
          </c:val>
        </c:ser>
        <c:ser>
          <c:idx val="1"/>
          <c:order val="1"/>
          <c:tx>
            <c:strRef>
              <c:f>Sheet1!$C$1</c:f>
              <c:strCache>
                <c:ptCount val="1"/>
                <c:pt idx="0">
                  <c:v>收入</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0">
                  <c:v>867.37</c:v>
                </c:pt>
                <c:pt idx="1">
                  <c:v>854.83</c:v>
                </c:pt>
              </c:numCache>
            </c:numRef>
          </c:val>
        </c:ser>
        <c:dLbls>
          <c:showLegendKey val="0"/>
          <c:showVal val="0"/>
          <c:showCatName val="0"/>
          <c:showSerName val="0"/>
          <c:showPercent val="0"/>
          <c:showBubbleSize val="0"/>
        </c:dLbls>
        <c:gapWidth val="219"/>
        <c:overlap val="-27"/>
        <c:axId val="636985194"/>
        <c:axId val="456654258"/>
      </c:barChart>
      <c:catAx>
        <c:axId val="6369851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654258"/>
        <c:crosses val="autoZero"/>
        <c:auto val="1"/>
        <c:lblAlgn val="ctr"/>
        <c:lblOffset val="100"/>
        <c:noMultiLvlLbl val="0"/>
      </c:catAx>
      <c:valAx>
        <c:axId val="4566542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98519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财政拨款支出</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867.37</c:v>
                </c:pt>
                <c:pt idx="1">
                  <c:v>854.83</c:v>
                </c:pt>
              </c:numCache>
            </c:numRef>
          </c:val>
        </c:ser>
        <c:dLbls>
          <c:showLegendKey val="0"/>
          <c:showVal val="0"/>
          <c:showCatName val="0"/>
          <c:showSerName val="0"/>
          <c:showPercent val="0"/>
          <c:showBubbleSize val="0"/>
        </c:dLbls>
        <c:gapWidth val="219"/>
        <c:overlap val="-27"/>
        <c:axId val="967929120"/>
        <c:axId val="895185991"/>
      </c:barChart>
      <c:catAx>
        <c:axId val="967929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185991"/>
        <c:crosses val="autoZero"/>
        <c:auto val="1"/>
        <c:lblAlgn val="ctr"/>
        <c:lblOffset val="100"/>
        <c:noMultiLvlLbl val="0"/>
      </c:catAx>
      <c:valAx>
        <c:axId val="8951859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7929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公共安全</c:v>
                </c:pt>
                <c:pt idx="1">
                  <c:v>社会保障和就业</c:v>
                </c:pt>
                <c:pt idx="2">
                  <c:v>卫生健康</c:v>
                </c:pt>
                <c:pt idx="3">
                  <c:v>住房保障</c:v>
                </c:pt>
              </c:strCache>
            </c:strRef>
          </c:cat>
          <c:val>
            <c:numRef>
              <c:f>Sheet1!$B$2:$B$5</c:f>
              <c:numCache>
                <c:formatCode>General</c:formatCode>
                <c:ptCount val="4"/>
                <c:pt idx="0">
                  <c:v>713.16</c:v>
                </c:pt>
                <c:pt idx="1">
                  <c:v>75.07</c:v>
                </c:pt>
                <c:pt idx="2">
                  <c:v>24.26</c:v>
                </c:pt>
                <c:pt idx="3">
                  <c:v>42.34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公务用车运行及购置支出</c:v>
                </c:pt>
                <c:pt idx="1">
                  <c:v>公务接待费</c:v>
                </c:pt>
              </c:strCache>
            </c:strRef>
          </c:cat>
          <c:val>
            <c:numRef>
              <c:f>Sheet1!$B$2:$B$3</c:f>
              <c:numCache>
                <c:formatCode>General</c:formatCode>
                <c:ptCount val="2"/>
                <c:pt idx="0">
                  <c:v>1.76</c:v>
                </c:pt>
                <c:pt idx="1">
                  <c:v>0.64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0A26A-4F96-4E33-A4F8-80E1B883F3E0}">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9065</Words>
  <Characters>9857</Characters>
  <Lines>74</Lines>
  <Paragraphs>21</Paragraphs>
  <TotalTime>10</TotalTime>
  <ScaleCrop>false</ScaleCrop>
  <LinksUpToDate>false</LinksUpToDate>
  <CharactersWithSpaces>9944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2021-08-06T09:38:00Z</dcterms:created>
  <dc:creator>曹颖</dc:creator>
  <cp:lastModifiedBy>Administrator</cp:lastModifiedBy>
  <cp:lastPrinted>2022-10-21T04:39:00Z</cp:lastPrinted>
  <dcterms:modified xsi:type="dcterms:W3CDTF">2022-12-06T02:52:33Z</dcterms:modified>
  <dc:title>阿坝州部门决算说明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7556142D69564082B731D4F68B844E63</vt:lpwstr>
  </property>
</Properties>
</file>