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jc w:val="center"/>
        <w:rPr>
          <w:rFonts w:ascii="黑体" w:hAnsi="黑体" w:eastAsia="黑体"/>
          <w:sz w:val="72"/>
          <w:szCs w:val="72"/>
        </w:rPr>
      </w:pPr>
      <w:bookmarkStart w:id="1" w:name="_Toc15377425"/>
      <w:bookmarkStart w:id="2" w:name="_Toc15377193"/>
      <w:bookmarkStart w:id="3" w:name="_Toc15378441"/>
      <w:bookmarkStart w:id="4" w:name="_Toc15396475"/>
      <w:bookmarkStart w:id="5" w:name="_Toc15396597"/>
      <w:r>
        <w:rPr>
          <w:rFonts w:ascii="黑体" w:hAnsi="黑体" w:eastAsia="黑体"/>
          <w:sz w:val="72"/>
          <w:szCs w:val="72"/>
        </w:rPr>
        <w:t>202</w:t>
      </w:r>
      <w:r>
        <w:rPr>
          <w:rFonts w:hint="eastAsia" w:ascii="黑体" w:hAnsi="黑体" w:eastAsia="黑体"/>
          <w:sz w:val="72"/>
          <w:szCs w:val="72"/>
        </w:rPr>
        <w:t>1年度</w:t>
      </w:r>
      <w:bookmarkEnd w:id="1"/>
      <w:bookmarkEnd w:id="2"/>
      <w:bookmarkEnd w:id="3"/>
      <w:bookmarkEnd w:id="4"/>
      <w:bookmarkEnd w:id="5"/>
    </w:p>
    <w:p>
      <w:pPr>
        <w:jc w:val="center"/>
        <w:rPr>
          <w:rFonts w:ascii="方正小标宋简体" w:eastAsia="方正小标宋简体"/>
          <w:sz w:val="72"/>
          <w:szCs w:val="72"/>
        </w:rPr>
      </w:pPr>
      <w:bookmarkStart w:id="6" w:name="_Toc15378442"/>
      <w:bookmarkStart w:id="7" w:name="_Toc15377426"/>
      <w:bookmarkStart w:id="8" w:name="_Toc15377194"/>
      <w:bookmarkStart w:id="9" w:name="_Toc15396598"/>
      <w:bookmarkStart w:id="10" w:name="_Toc15396476"/>
      <w:r>
        <w:rPr>
          <w:rFonts w:hint="eastAsia" w:ascii="方正小标宋简体" w:eastAsia="方正小标宋简体"/>
          <w:sz w:val="72"/>
          <w:szCs w:val="72"/>
        </w:rPr>
        <w:t>阿坝州壤塘县</w:t>
      </w:r>
      <w:bookmarkEnd w:id="0"/>
      <w:bookmarkStart w:id="11" w:name="_Toc15306268"/>
      <w:r>
        <w:rPr>
          <w:rFonts w:hint="eastAsia" w:ascii="方正小标宋简体" w:eastAsia="方正小标宋简体"/>
          <w:sz w:val="72"/>
          <w:szCs w:val="72"/>
          <w:lang w:val="en-US" w:eastAsia="zh-CN"/>
        </w:rPr>
        <w:t>人民检察院</w:t>
      </w:r>
      <w:r>
        <w:rPr>
          <w:rFonts w:hint="eastAsia" w:ascii="方正小标宋简体" w:eastAsia="方正小标宋简体"/>
          <w:sz w:val="72"/>
          <w:szCs w:val="72"/>
        </w:rPr>
        <w:t>部门决算</w:t>
      </w:r>
      <w:bookmarkEnd w:id="6"/>
      <w:bookmarkEnd w:id="7"/>
      <w:bookmarkEnd w:id="8"/>
      <w:bookmarkEnd w:id="9"/>
      <w:bookmarkEnd w:id="10"/>
      <w:bookmarkEnd w:id="11"/>
    </w:p>
    <w:p>
      <w:pPr>
        <w:widowControl/>
        <w:jc w:val="center"/>
        <w:rPr>
          <w:rFonts w:ascii="方正小标宋简体" w:hAnsi="宋体" w:eastAsia="方正小标宋简体"/>
          <w:color w:val="000000"/>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bookmarkStart w:id="163" w:name="_GoBack"/>
      <w:bookmarkEnd w:id="163"/>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pStyle w:val="13"/>
        <w:jc w:val="center"/>
        <w:rPr>
          <w:rFonts w:hint="eastAsia" w:ascii="宋体" w:hAnsi="宋体" w:eastAsia="宋体" w:cs="仿宋_GB2312"/>
          <w:b w:val="0"/>
          <w:bCs w:val="0"/>
          <w:caps w:val="0"/>
          <w:kern w:val="2"/>
          <w:sz w:val="32"/>
          <w:szCs w:val="32"/>
          <w:lang w:val="en-US" w:eastAsia="zh-CN" w:bidi="ar-SA"/>
        </w:rPr>
      </w:pPr>
      <w:r>
        <w:rPr>
          <w:rFonts w:hint="eastAsia" w:ascii="宋体" w:hAnsi="宋体" w:eastAsia="宋体" w:cs="仿宋_GB2312"/>
          <w:b w:val="0"/>
          <w:bCs w:val="0"/>
          <w:caps w:val="0"/>
          <w:kern w:val="2"/>
          <w:sz w:val="32"/>
          <w:szCs w:val="32"/>
          <w:lang w:val="en-US" w:eastAsia="zh-CN" w:bidi="ar-SA"/>
        </w:rPr>
        <w:t>公开时间：2022年10月21日</w:t>
      </w:r>
    </w:p>
    <w:p>
      <w:pPr>
        <w:widowControl/>
        <w:jc w:val="both"/>
        <w:rPr>
          <w:rFonts w:hint="eastAsia" w:ascii="黑体" w:hAnsi="黑体" w:eastAsia="黑体"/>
          <w:color w:val="000000"/>
          <w:sz w:val="48"/>
          <w:szCs w:val="48"/>
        </w:rPr>
      </w:pPr>
    </w:p>
    <w:p>
      <w:pPr>
        <w:widowControl/>
        <w:ind w:firstLine="3840" w:firstLineChars="800"/>
        <w:jc w:val="both"/>
        <w:rPr>
          <w:rFonts w:hint="eastAsia" w:ascii="黑体" w:hAnsi="黑体" w:eastAsia="黑体"/>
          <w:color w:val="000000"/>
          <w:sz w:val="48"/>
          <w:szCs w:val="48"/>
        </w:rPr>
      </w:pPr>
    </w:p>
    <w:p>
      <w:pPr>
        <w:widowControl/>
        <w:ind w:firstLine="3840" w:firstLineChars="800"/>
        <w:jc w:val="both"/>
        <w:rPr>
          <w:rFonts w:hint="eastAsia" w:ascii="黑体" w:hAnsi="黑体" w:eastAsia="黑体"/>
          <w:color w:val="000000"/>
          <w:sz w:val="48"/>
          <w:szCs w:val="48"/>
        </w:rPr>
      </w:pPr>
    </w:p>
    <w:p>
      <w:pPr>
        <w:widowControl/>
        <w:ind w:firstLine="3840" w:firstLineChars="800"/>
        <w:jc w:val="both"/>
        <w:rPr>
          <w:rFonts w:hint="eastAsia" w:ascii="黑体" w:hAnsi="黑体" w:eastAsia="黑体"/>
          <w:color w:val="000000"/>
          <w:sz w:val="48"/>
          <w:szCs w:val="48"/>
        </w:rPr>
      </w:pPr>
    </w:p>
    <w:p>
      <w:pPr>
        <w:widowControl/>
        <w:ind w:firstLine="3840" w:firstLineChars="800"/>
        <w:jc w:val="both"/>
        <w:rPr>
          <w:rFonts w:hint="eastAsia" w:ascii="黑体" w:hAnsi="黑体" w:eastAsia="黑体"/>
          <w:color w:val="000000"/>
          <w:sz w:val="48"/>
          <w:szCs w:val="48"/>
        </w:rPr>
      </w:pPr>
    </w:p>
    <w:p>
      <w:pPr>
        <w:widowControl/>
        <w:ind w:firstLine="3840" w:firstLineChars="800"/>
        <w:jc w:val="both"/>
        <w:rPr>
          <w:rFonts w:hint="eastAsia" w:ascii="黑体" w:hAnsi="黑体" w:eastAsia="黑体"/>
          <w:color w:val="000000"/>
          <w:sz w:val="48"/>
          <w:szCs w:val="48"/>
        </w:rPr>
      </w:pPr>
    </w:p>
    <w:p>
      <w:pPr>
        <w:widowControl/>
        <w:ind w:firstLine="3840" w:firstLineChars="800"/>
        <w:jc w:val="both"/>
        <w:rPr>
          <w:rFonts w:ascii="黑体" w:hAnsi="黑体" w:eastAsia="黑体"/>
          <w:color w:val="000000"/>
          <w:sz w:val="48"/>
          <w:szCs w:val="48"/>
        </w:rPr>
      </w:pPr>
      <w:r>
        <w:rPr>
          <w:rFonts w:hint="eastAsia" w:ascii="黑体" w:hAnsi="黑体" w:eastAsia="黑体"/>
          <w:color w:val="000000"/>
          <w:sz w:val="48"/>
          <w:szCs w:val="48"/>
        </w:rPr>
        <w:t>目</w:t>
      </w:r>
      <w:r>
        <w:rPr>
          <w:rFonts w:hint="eastAsia" w:ascii="黑体" w:hAnsi="黑体" w:eastAsia="黑体"/>
          <w:color w:val="000000"/>
          <w:sz w:val="48"/>
          <w:szCs w:val="48"/>
          <w:lang w:val="en-US" w:eastAsia="zh-CN"/>
        </w:rPr>
        <w:t xml:space="preserve"> </w:t>
      </w:r>
      <w:r>
        <w:rPr>
          <w:rFonts w:hint="eastAsia" w:ascii="黑体" w:hAnsi="黑体" w:eastAsia="黑体"/>
          <w:color w:val="000000"/>
          <w:sz w:val="48"/>
          <w:szCs w:val="48"/>
        </w:rPr>
        <w:t>录</w:t>
      </w:r>
    </w:p>
    <w:p>
      <w:pPr>
        <w:pStyle w:val="13"/>
        <w:tabs>
          <w:tab w:val="right" w:leader="dot" w:pos="8306"/>
        </w:tabs>
      </w:pPr>
      <w:r>
        <w:rPr>
          <w:b w:val="0"/>
          <w:bCs w:val="0"/>
          <w:caps w:val="0"/>
        </w:rPr>
        <w:fldChar w:fldCharType="begin"/>
      </w:r>
      <w:r>
        <w:rPr>
          <w:b w:val="0"/>
          <w:bCs w:val="0"/>
          <w:caps w:val="0"/>
        </w:rPr>
        <w:instrText xml:space="preserve"> TOC \o \u </w:instrText>
      </w:r>
      <w:r>
        <w:rPr>
          <w:b w:val="0"/>
          <w:bCs w:val="0"/>
          <w:caps w:val="0"/>
        </w:rPr>
        <w:fldChar w:fldCharType="separate"/>
      </w:r>
      <w:r>
        <w:rPr>
          <w:rFonts w:hint="eastAsia" w:ascii="黑体" w:hAnsi="黑体" w:eastAsia="黑体"/>
        </w:rPr>
        <w:t>第一部分</w:t>
      </w:r>
      <w:r>
        <w:rPr>
          <w:rFonts w:ascii="黑体" w:hAnsi="黑体" w:eastAsia="黑体"/>
        </w:rPr>
        <w:t xml:space="preserve"> </w:t>
      </w:r>
      <w:r>
        <w:rPr>
          <w:rFonts w:hint="eastAsia" w:ascii="黑体" w:hAnsi="黑体" w:eastAsia="黑体"/>
          <w:bCs w:val="0"/>
        </w:rPr>
        <w:t>部门概况</w:t>
      </w:r>
      <w:r>
        <w:tab/>
      </w:r>
      <w:r>
        <w:fldChar w:fldCharType="begin"/>
      </w:r>
      <w:r>
        <w:instrText xml:space="preserve"> PAGEREF _Toc27315 \h </w:instrText>
      </w:r>
      <w:r>
        <w:fldChar w:fldCharType="separate"/>
      </w:r>
      <w:r>
        <w:t>1</w:t>
      </w:r>
      <w:r>
        <w:fldChar w:fldCharType="end"/>
      </w:r>
    </w:p>
    <w:p>
      <w:pPr>
        <w:pStyle w:val="16"/>
        <w:tabs>
          <w:tab w:val="right" w:leader="dot" w:pos="8306"/>
        </w:tabs>
      </w:pPr>
      <w:r>
        <w:rPr>
          <w:rFonts w:hint="eastAsia" w:ascii="黑体" w:hAnsi="黑体" w:eastAsia="黑体"/>
          <w:color w:val="000000"/>
        </w:rPr>
        <w:t>一、基</w:t>
      </w:r>
      <w:r>
        <w:rPr>
          <w:rFonts w:hint="eastAsia" w:ascii="黑体" w:hAnsi="黑体" w:eastAsia="黑体"/>
          <w:bCs w:val="0"/>
        </w:rPr>
        <w:t>本职能及主要工作</w:t>
      </w:r>
      <w:r>
        <w:tab/>
      </w:r>
      <w:r>
        <w:fldChar w:fldCharType="begin"/>
      </w:r>
      <w:r>
        <w:instrText xml:space="preserve"> PAGEREF _Toc7199 \h </w:instrText>
      </w:r>
      <w:r>
        <w:fldChar w:fldCharType="separate"/>
      </w:r>
      <w:r>
        <w:t>1</w:t>
      </w:r>
      <w:r>
        <w:fldChar w:fldCharType="end"/>
      </w:r>
    </w:p>
    <w:p>
      <w:pPr>
        <w:pStyle w:val="8"/>
        <w:tabs>
          <w:tab w:val="right" w:leader="dot" w:pos="8306"/>
        </w:tabs>
      </w:pPr>
      <w:r>
        <w:rPr>
          <w:rFonts w:hint="eastAsia" w:ascii="仿宋" w:hAnsi="仿宋" w:eastAsia="仿宋"/>
          <w:bCs/>
          <w:color w:val="000000"/>
          <w:szCs w:val="32"/>
        </w:rPr>
        <w:t>（一）主要职能。</w:t>
      </w:r>
      <w:r>
        <w:tab/>
      </w:r>
      <w:r>
        <w:fldChar w:fldCharType="begin"/>
      </w:r>
      <w:r>
        <w:instrText xml:space="preserve"> PAGEREF _Toc12226 \h </w:instrText>
      </w:r>
      <w:r>
        <w:fldChar w:fldCharType="separate"/>
      </w:r>
      <w:r>
        <w:t>1</w:t>
      </w:r>
      <w:r>
        <w:fldChar w:fldCharType="end"/>
      </w:r>
    </w:p>
    <w:p>
      <w:pPr>
        <w:pStyle w:val="8"/>
        <w:tabs>
          <w:tab w:val="right" w:leader="dot" w:pos="8306"/>
        </w:tabs>
      </w:pPr>
      <w:r>
        <w:rPr>
          <w:rFonts w:hint="eastAsia" w:ascii="仿宋" w:hAnsi="仿宋" w:eastAsia="仿宋"/>
          <w:bCs/>
          <w:color w:val="000000"/>
          <w:szCs w:val="32"/>
        </w:rPr>
        <w:t>（二）</w:t>
      </w:r>
      <w:r>
        <w:rPr>
          <w:rFonts w:ascii="仿宋" w:hAnsi="仿宋" w:eastAsia="仿宋"/>
          <w:bCs/>
          <w:color w:val="000000"/>
          <w:szCs w:val="32"/>
        </w:rPr>
        <w:t>202</w:t>
      </w:r>
      <w:r>
        <w:rPr>
          <w:rFonts w:hint="eastAsia" w:ascii="仿宋" w:hAnsi="仿宋" w:eastAsia="仿宋"/>
          <w:bCs/>
          <w:color w:val="000000"/>
          <w:szCs w:val="32"/>
        </w:rPr>
        <w:t>1年重点工作完成情况</w:t>
      </w:r>
      <w:r>
        <w:tab/>
      </w:r>
      <w:r>
        <w:fldChar w:fldCharType="begin"/>
      </w:r>
      <w:r>
        <w:instrText xml:space="preserve"> PAGEREF _Toc83 \h </w:instrText>
      </w:r>
      <w:r>
        <w:fldChar w:fldCharType="separate"/>
      </w:r>
      <w:r>
        <w:t>2</w:t>
      </w:r>
      <w:r>
        <w:fldChar w:fldCharType="end"/>
      </w:r>
    </w:p>
    <w:p>
      <w:pPr>
        <w:pStyle w:val="16"/>
        <w:tabs>
          <w:tab w:val="right" w:leader="dot" w:pos="8306"/>
        </w:tabs>
      </w:pPr>
      <w:r>
        <w:rPr>
          <w:rFonts w:hint="eastAsia" w:ascii="黑体" w:eastAsia="黑体"/>
          <w:color w:val="000000"/>
        </w:rPr>
        <w:t>二、</w:t>
      </w:r>
      <w:r>
        <w:rPr>
          <w:rFonts w:hint="eastAsia" w:ascii="黑体" w:hAnsi="黑体" w:eastAsia="黑体"/>
          <w:color w:val="000000"/>
        </w:rPr>
        <w:t>机</w:t>
      </w:r>
      <w:r>
        <w:rPr>
          <w:rFonts w:hint="eastAsia" w:ascii="黑体" w:hAnsi="黑体" w:eastAsia="黑体"/>
          <w:bCs w:val="0"/>
        </w:rPr>
        <w:t>构设置</w:t>
      </w:r>
      <w:r>
        <w:tab/>
      </w:r>
      <w:r>
        <w:fldChar w:fldCharType="begin"/>
      </w:r>
      <w:r>
        <w:instrText xml:space="preserve"> PAGEREF _Toc8865 \h </w:instrText>
      </w:r>
      <w:r>
        <w:fldChar w:fldCharType="separate"/>
      </w:r>
      <w:r>
        <w:t>4</w:t>
      </w:r>
      <w:r>
        <w:fldChar w:fldCharType="end"/>
      </w:r>
    </w:p>
    <w:p>
      <w:pPr>
        <w:pStyle w:val="13"/>
        <w:tabs>
          <w:tab w:val="right" w:leader="dot" w:pos="8306"/>
        </w:tabs>
      </w:pPr>
      <w:r>
        <w:rPr>
          <w:rFonts w:hint="eastAsia" w:ascii="黑体" w:hAnsi="黑体" w:eastAsia="黑体"/>
          <w:color w:val="000000"/>
        </w:rPr>
        <w:t>第二部分</w:t>
      </w:r>
      <w:r>
        <w:rPr>
          <w:rFonts w:ascii="黑体" w:hAnsi="黑体" w:eastAsia="黑体"/>
          <w:color w:val="000000"/>
        </w:rPr>
        <w:t xml:space="preserve"> </w:t>
      </w:r>
      <w:r>
        <w:rPr>
          <w:rFonts w:ascii="黑体" w:hAnsi="黑体" w:eastAsia="黑体"/>
          <w:bCs w:val="0"/>
        </w:rPr>
        <w:t>202</w:t>
      </w:r>
      <w:r>
        <w:rPr>
          <w:rFonts w:hint="eastAsia" w:ascii="黑体" w:hAnsi="黑体" w:eastAsia="黑体"/>
          <w:bCs w:val="0"/>
        </w:rPr>
        <w:t>1年度部门决算情况说明</w:t>
      </w:r>
      <w:r>
        <w:tab/>
      </w:r>
      <w:r>
        <w:fldChar w:fldCharType="begin"/>
      </w:r>
      <w:r>
        <w:instrText xml:space="preserve"> PAGEREF _Toc7271 \h </w:instrText>
      </w:r>
      <w:r>
        <w:fldChar w:fldCharType="separate"/>
      </w:r>
      <w:r>
        <w:t>5</w:t>
      </w:r>
      <w:r>
        <w:fldChar w:fldCharType="end"/>
      </w:r>
    </w:p>
    <w:p>
      <w:pPr>
        <w:pStyle w:val="16"/>
        <w:tabs>
          <w:tab w:val="right" w:leader="dot" w:pos="8306"/>
        </w:tabs>
      </w:pPr>
      <w:r>
        <w:rPr>
          <w:rFonts w:hint="default" w:ascii="黑体" w:hAnsi="黑体" w:eastAsia="黑体" w:cs="Times New Roman"/>
        </w:rPr>
        <w:t xml:space="preserve">一、 </w:t>
      </w:r>
      <w:r>
        <w:rPr>
          <w:rFonts w:hint="eastAsia" w:ascii="黑体" w:hAnsi="黑体" w:eastAsia="黑体"/>
          <w:color w:val="000000"/>
          <w:szCs w:val="32"/>
        </w:rPr>
        <w:t>收</w:t>
      </w:r>
      <w:r>
        <w:rPr>
          <w:rFonts w:hint="eastAsia" w:ascii="黑体" w:hAnsi="黑体" w:eastAsia="黑体"/>
        </w:rPr>
        <w:t>入支出决算总体情况说明</w:t>
      </w:r>
      <w:r>
        <w:tab/>
      </w:r>
      <w:r>
        <w:fldChar w:fldCharType="begin"/>
      </w:r>
      <w:r>
        <w:instrText xml:space="preserve"> PAGEREF _Toc30449 \h </w:instrText>
      </w:r>
      <w:r>
        <w:fldChar w:fldCharType="separate"/>
      </w:r>
      <w:r>
        <w:t>5</w:t>
      </w:r>
      <w:r>
        <w:fldChar w:fldCharType="end"/>
      </w:r>
    </w:p>
    <w:p>
      <w:pPr>
        <w:pStyle w:val="16"/>
        <w:tabs>
          <w:tab w:val="right" w:leader="dot" w:pos="8306"/>
        </w:tabs>
      </w:pPr>
      <w:r>
        <w:rPr>
          <w:rFonts w:hint="default" w:ascii="黑体" w:hAnsi="黑体" w:eastAsia="黑体" w:cs="Times New Roman"/>
        </w:rPr>
        <w:t xml:space="preserve">二、 </w:t>
      </w:r>
      <w:r>
        <w:rPr>
          <w:rFonts w:hint="eastAsia" w:ascii="黑体" w:hAnsi="黑体" w:eastAsia="黑体"/>
          <w:color w:val="000000"/>
          <w:szCs w:val="32"/>
        </w:rPr>
        <w:t>收</w:t>
      </w:r>
      <w:r>
        <w:rPr>
          <w:rFonts w:hint="eastAsia" w:ascii="黑体" w:hAnsi="黑体" w:eastAsia="黑体"/>
        </w:rPr>
        <w:t>入决算情况说明</w:t>
      </w:r>
      <w:r>
        <w:tab/>
      </w:r>
      <w:r>
        <w:fldChar w:fldCharType="begin"/>
      </w:r>
      <w:r>
        <w:instrText xml:space="preserve"> PAGEREF _Toc4596 \h </w:instrText>
      </w:r>
      <w:r>
        <w:fldChar w:fldCharType="separate"/>
      </w:r>
      <w:r>
        <w:t>5</w:t>
      </w:r>
      <w:r>
        <w:fldChar w:fldCharType="end"/>
      </w:r>
    </w:p>
    <w:p>
      <w:pPr>
        <w:pStyle w:val="16"/>
        <w:tabs>
          <w:tab w:val="right" w:leader="dot" w:pos="8306"/>
        </w:tabs>
      </w:pPr>
      <w:r>
        <w:rPr>
          <w:rFonts w:hint="default" w:ascii="黑体" w:hAnsi="黑体" w:eastAsia="黑体" w:cs="Times New Roman"/>
        </w:rPr>
        <w:t xml:space="preserve">三、 </w:t>
      </w:r>
      <w:r>
        <w:rPr>
          <w:rFonts w:hint="eastAsia" w:ascii="黑体" w:hAnsi="黑体" w:eastAsia="黑体"/>
          <w:color w:val="000000"/>
          <w:szCs w:val="32"/>
        </w:rPr>
        <w:t>支</w:t>
      </w:r>
      <w:r>
        <w:rPr>
          <w:rFonts w:hint="eastAsia" w:ascii="黑体" w:hAnsi="黑体" w:eastAsia="黑体"/>
        </w:rPr>
        <w:t>出决算情况说明</w:t>
      </w:r>
      <w:r>
        <w:tab/>
      </w:r>
      <w:r>
        <w:fldChar w:fldCharType="begin"/>
      </w:r>
      <w:r>
        <w:instrText xml:space="preserve"> PAGEREF _Toc31356 \h </w:instrText>
      </w:r>
      <w:r>
        <w:fldChar w:fldCharType="separate"/>
      </w:r>
      <w:r>
        <w:t>6</w:t>
      </w:r>
      <w:r>
        <w:fldChar w:fldCharType="end"/>
      </w:r>
    </w:p>
    <w:p>
      <w:pPr>
        <w:pStyle w:val="16"/>
        <w:tabs>
          <w:tab w:val="right" w:leader="dot" w:pos="8306"/>
        </w:tabs>
      </w:pPr>
      <w:r>
        <w:rPr>
          <w:rFonts w:hint="eastAsia" w:ascii="黑体" w:hAnsi="黑体" w:eastAsia="黑体"/>
          <w:color w:val="000000"/>
          <w:szCs w:val="32"/>
        </w:rPr>
        <w:t>四、财</w:t>
      </w:r>
      <w:r>
        <w:rPr>
          <w:rFonts w:hint="eastAsia" w:ascii="黑体" w:hAnsi="黑体" w:eastAsia="黑体"/>
        </w:rPr>
        <w:t>政拨款收入支出决算总体情况说明</w:t>
      </w:r>
      <w:r>
        <w:tab/>
      </w:r>
      <w:r>
        <w:fldChar w:fldCharType="begin"/>
      </w:r>
      <w:r>
        <w:instrText xml:space="preserve"> PAGEREF _Toc10208 \h </w:instrText>
      </w:r>
      <w:r>
        <w:fldChar w:fldCharType="separate"/>
      </w:r>
      <w:r>
        <w:t>7</w:t>
      </w:r>
      <w:r>
        <w:fldChar w:fldCharType="end"/>
      </w:r>
    </w:p>
    <w:p>
      <w:pPr>
        <w:pStyle w:val="16"/>
        <w:tabs>
          <w:tab w:val="right" w:leader="dot" w:pos="8306"/>
        </w:tabs>
      </w:pPr>
      <w:r>
        <w:rPr>
          <w:rFonts w:hint="eastAsia" w:ascii="黑体" w:hAnsi="黑体" w:eastAsia="黑体"/>
          <w:color w:val="000000"/>
          <w:szCs w:val="32"/>
        </w:rPr>
        <w:t>五、一</w:t>
      </w:r>
      <w:r>
        <w:rPr>
          <w:rFonts w:hint="eastAsia" w:ascii="黑体" w:hAnsi="黑体" w:eastAsia="黑体"/>
        </w:rPr>
        <w:t>般公共预算财政拨款支出决算情况说明</w:t>
      </w:r>
      <w:r>
        <w:tab/>
      </w:r>
      <w:r>
        <w:fldChar w:fldCharType="begin"/>
      </w:r>
      <w:r>
        <w:instrText xml:space="preserve"> PAGEREF _Toc28591 \h </w:instrText>
      </w:r>
      <w:r>
        <w:fldChar w:fldCharType="separate"/>
      </w:r>
      <w:r>
        <w:t>7</w:t>
      </w:r>
      <w:r>
        <w:fldChar w:fldCharType="end"/>
      </w:r>
    </w:p>
    <w:p>
      <w:pPr>
        <w:pStyle w:val="8"/>
        <w:tabs>
          <w:tab w:val="right" w:leader="dot" w:pos="8306"/>
        </w:tabs>
      </w:pPr>
      <w:r>
        <w:rPr>
          <w:rFonts w:hint="eastAsia" w:ascii="仿宋" w:hAnsi="仿宋" w:eastAsia="仿宋"/>
          <w:color w:val="000000"/>
          <w:szCs w:val="32"/>
        </w:rPr>
        <w:t>（一）一般公共预算财政拨款支出决算总体情况</w:t>
      </w:r>
      <w:r>
        <w:tab/>
      </w:r>
      <w:r>
        <w:fldChar w:fldCharType="begin"/>
      </w:r>
      <w:r>
        <w:instrText xml:space="preserve"> PAGEREF _Toc22914 \h </w:instrText>
      </w:r>
      <w:r>
        <w:fldChar w:fldCharType="separate"/>
      </w:r>
      <w:r>
        <w:t>7</w:t>
      </w:r>
      <w:r>
        <w:fldChar w:fldCharType="end"/>
      </w:r>
    </w:p>
    <w:p>
      <w:pPr>
        <w:pStyle w:val="8"/>
        <w:tabs>
          <w:tab w:val="right" w:leader="dot" w:pos="8306"/>
        </w:tabs>
      </w:pPr>
      <w:r>
        <w:rPr>
          <w:rFonts w:hint="eastAsia" w:ascii="仿宋" w:hAnsi="仿宋" w:eastAsia="仿宋"/>
          <w:color w:val="000000"/>
          <w:szCs w:val="32"/>
        </w:rPr>
        <w:t>（二）一般公共预算财政拨款支出决算结构情况</w:t>
      </w:r>
      <w:r>
        <w:tab/>
      </w:r>
      <w:r>
        <w:fldChar w:fldCharType="begin"/>
      </w:r>
      <w:r>
        <w:instrText xml:space="preserve"> PAGEREF _Toc1208 \h </w:instrText>
      </w:r>
      <w:r>
        <w:fldChar w:fldCharType="separate"/>
      </w:r>
      <w:r>
        <w:t>8</w:t>
      </w:r>
      <w:r>
        <w:fldChar w:fldCharType="end"/>
      </w:r>
    </w:p>
    <w:p>
      <w:pPr>
        <w:pStyle w:val="8"/>
        <w:tabs>
          <w:tab w:val="right" w:leader="dot" w:pos="8306"/>
        </w:tabs>
      </w:pPr>
      <w:r>
        <w:rPr>
          <w:rFonts w:hint="eastAsia" w:ascii="仿宋" w:hAnsi="仿宋" w:eastAsia="仿宋"/>
          <w:color w:val="000000"/>
          <w:szCs w:val="32"/>
        </w:rPr>
        <w:t>（三）一般公共预算财政拨款支出决算具体情况</w:t>
      </w:r>
      <w:r>
        <w:tab/>
      </w:r>
      <w:r>
        <w:fldChar w:fldCharType="begin"/>
      </w:r>
      <w:r>
        <w:instrText xml:space="preserve"> PAGEREF _Toc951 \h </w:instrText>
      </w:r>
      <w:r>
        <w:fldChar w:fldCharType="separate"/>
      </w:r>
      <w:r>
        <w:t>9</w:t>
      </w:r>
      <w:r>
        <w:fldChar w:fldCharType="end"/>
      </w:r>
    </w:p>
    <w:p>
      <w:pPr>
        <w:pStyle w:val="16"/>
        <w:tabs>
          <w:tab w:val="right" w:leader="dot" w:pos="8306"/>
        </w:tabs>
      </w:pPr>
      <w:r>
        <w:rPr>
          <w:rFonts w:hint="eastAsia" w:ascii="黑体" w:eastAsia="黑体"/>
          <w:color w:val="000000"/>
          <w:szCs w:val="32"/>
        </w:rPr>
        <w:t>六、</w:t>
      </w:r>
      <w:r>
        <w:rPr>
          <w:rFonts w:hint="eastAsia" w:ascii="黑体" w:hAnsi="黑体" w:eastAsia="黑体"/>
          <w:color w:val="000000"/>
          <w:szCs w:val="32"/>
        </w:rPr>
        <w:t>一</w:t>
      </w:r>
      <w:r>
        <w:rPr>
          <w:rFonts w:hint="eastAsia" w:ascii="黑体" w:hAnsi="黑体" w:eastAsia="黑体"/>
        </w:rPr>
        <w:t>般公共预算财政拨款基本支出决算情况说明</w:t>
      </w:r>
      <w:r>
        <w:tab/>
      </w:r>
      <w:r>
        <w:fldChar w:fldCharType="begin"/>
      </w:r>
      <w:r>
        <w:instrText xml:space="preserve"> PAGEREF _Toc5314 \h </w:instrText>
      </w:r>
      <w:r>
        <w:fldChar w:fldCharType="separate"/>
      </w:r>
      <w:r>
        <w:t>10</w:t>
      </w:r>
      <w:r>
        <w:fldChar w:fldCharType="end"/>
      </w:r>
    </w:p>
    <w:p>
      <w:pPr>
        <w:pStyle w:val="16"/>
        <w:tabs>
          <w:tab w:val="right" w:leader="dot" w:pos="8306"/>
        </w:tabs>
      </w:pPr>
      <w:r>
        <w:rPr>
          <w:rFonts w:hint="eastAsia" w:ascii="黑体" w:eastAsia="黑体"/>
          <w:color w:val="000000"/>
          <w:szCs w:val="32"/>
        </w:rPr>
        <w:t>七、</w:t>
      </w:r>
      <w:r>
        <w:rPr>
          <w:rFonts w:hint="eastAsia" w:ascii="黑体" w:hAnsi="黑体" w:eastAsia="黑体"/>
        </w:rPr>
        <w:t>“三公”经费财政拨款支出决算情况说明</w:t>
      </w:r>
      <w:r>
        <w:tab/>
      </w:r>
      <w:r>
        <w:fldChar w:fldCharType="begin"/>
      </w:r>
      <w:r>
        <w:instrText xml:space="preserve"> PAGEREF _Toc18365 \h </w:instrText>
      </w:r>
      <w:r>
        <w:fldChar w:fldCharType="separate"/>
      </w:r>
      <w:r>
        <w:t>11</w:t>
      </w:r>
      <w:r>
        <w:fldChar w:fldCharType="end"/>
      </w:r>
    </w:p>
    <w:p>
      <w:pPr>
        <w:pStyle w:val="8"/>
        <w:tabs>
          <w:tab w:val="right" w:leader="dot" w:pos="8306"/>
        </w:tabs>
      </w:pPr>
      <w:r>
        <w:rPr>
          <w:rFonts w:hint="eastAsia" w:ascii="仿宋" w:hAnsi="仿宋" w:eastAsia="仿宋"/>
          <w:color w:val="000000"/>
          <w:szCs w:val="32"/>
        </w:rPr>
        <w:t>（一）“三公”经费财政拨款支出决算总体情况说明</w:t>
      </w:r>
      <w:r>
        <w:tab/>
      </w:r>
      <w:r>
        <w:fldChar w:fldCharType="begin"/>
      </w:r>
      <w:r>
        <w:instrText xml:space="preserve"> PAGEREF _Toc3044 \h </w:instrText>
      </w:r>
      <w:r>
        <w:fldChar w:fldCharType="separate"/>
      </w:r>
      <w:r>
        <w:t>11</w:t>
      </w:r>
      <w:r>
        <w:fldChar w:fldCharType="end"/>
      </w:r>
    </w:p>
    <w:p>
      <w:pPr>
        <w:pStyle w:val="8"/>
        <w:tabs>
          <w:tab w:val="right" w:leader="dot" w:pos="8306"/>
        </w:tabs>
      </w:pPr>
      <w:r>
        <w:rPr>
          <w:rFonts w:hint="eastAsia" w:ascii="仿宋" w:hAnsi="仿宋" w:eastAsia="仿宋"/>
          <w:color w:val="000000"/>
          <w:szCs w:val="32"/>
        </w:rPr>
        <w:t>（二）“三公”经费财政拨款支出决算具体情况说明</w:t>
      </w:r>
      <w:r>
        <w:tab/>
      </w:r>
      <w:r>
        <w:fldChar w:fldCharType="begin"/>
      </w:r>
      <w:r>
        <w:instrText xml:space="preserve"> PAGEREF _Toc14805 \h </w:instrText>
      </w:r>
      <w:r>
        <w:fldChar w:fldCharType="separate"/>
      </w:r>
      <w:r>
        <w:t>11</w:t>
      </w:r>
      <w:r>
        <w:fldChar w:fldCharType="end"/>
      </w:r>
    </w:p>
    <w:p>
      <w:pPr>
        <w:pStyle w:val="16"/>
        <w:tabs>
          <w:tab w:val="right" w:leader="dot" w:pos="8306"/>
        </w:tabs>
      </w:pPr>
      <w:r>
        <w:rPr>
          <w:rFonts w:hint="eastAsia" w:ascii="黑体" w:eastAsia="黑体"/>
          <w:color w:val="000000"/>
          <w:szCs w:val="32"/>
        </w:rPr>
        <w:t>八、</w:t>
      </w:r>
      <w:r>
        <w:rPr>
          <w:rFonts w:hint="eastAsia" w:ascii="黑体" w:hAnsi="黑体" w:eastAsia="黑体"/>
        </w:rPr>
        <w:t>政府性基金预算支出决算情况说明</w:t>
      </w:r>
      <w:r>
        <w:tab/>
      </w:r>
      <w:r>
        <w:fldChar w:fldCharType="begin"/>
      </w:r>
      <w:r>
        <w:instrText xml:space="preserve"> PAGEREF _Toc19393 \h </w:instrText>
      </w:r>
      <w:r>
        <w:fldChar w:fldCharType="separate"/>
      </w:r>
      <w:r>
        <w:t>12</w:t>
      </w:r>
      <w:r>
        <w:fldChar w:fldCharType="end"/>
      </w:r>
    </w:p>
    <w:p>
      <w:pPr>
        <w:pStyle w:val="16"/>
        <w:tabs>
          <w:tab w:val="right" w:leader="dot" w:pos="8306"/>
        </w:tabs>
      </w:pPr>
      <w:r>
        <w:rPr>
          <w:rFonts w:hint="eastAsia" w:ascii="黑体" w:hAnsi="黑体" w:eastAsia="黑体" w:cs="Times New Roman"/>
        </w:rPr>
        <w:t xml:space="preserve">九、 </w:t>
      </w:r>
      <w:r>
        <w:rPr>
          <w:rFonts w:hint="eastAsia" w:ascii="黑体" w:hAnsi="黑体" w:eastAsia="黑体"/>
        </w:rPr>
        <w:t>国有资本经营预算支出决算情况说明</w:t>
      </w:r>
      <w:r>
        <w:tab/>
      </w:r>
      <w:r>
        <w:fldChar w:fldCharType="begin"/>
      </w:r>
      <w:r>
        <w:instrText xml:space="preserve"> PAGEREF _Toc25076 \h </w:instrText>
      </w:r>
      <w:r>
        <w:fldChar w:fldCharType="separate"/>
      </w:r>
      <w:r>
        <w:t>12</w:t>
      </w:r>
      <w:r>
        <w:fldChar w:fldCharType="end"/>
      </w:r>
    </w:p>
    <w:p>
      <w:pPr>
        <w:pStyle w:val="16"/>
        <w:tabs>
          <w:tab w:val="right" w:leader="dot" w:pos="8306"/>
        </w:tabs>
      </w:pPr>
      <w:r>
        <w:rPr>
          <w:rFonts w:hint="eastAsia" w:ascii="黑体" w:hAnsi="黑体" w:eastAsia="黑体"/>
          <w:color w:val="000000"/>
          <w:szCs w:val="32"/>
        </w:rPr>
        <w:t>十</w:t>
      </w:r>
      <w:r>
        <w:rPr>
          <w:rFonts w:hint="eastAsia" w:ascii="黑体" w:hAnsi="黑体" w:eastAsia="黑体"/>
        </w:rPr>
        <w:t>、其他重要事项的情况说明</w:t>
      </w:r>
      <w:r>
        <w:tab/>
      </w:r>
      <w:r>
        <w:fldChar w:fldCharType="begin"/>
      </w:r>
      <w:r>
        <w:instrText xml:space="preserve"> PAGEREF _Toc7656 \h </w:instrText>
      </w:r>
      <w:r>
        <w:fldChar w:fldCharType="separate"/>
      </w:r>
      <w:r>
        <w:t>12</w:t>
      </w:r>
      <w:r>
        <w:fldChar w:fldCharType="end"/>
      </w:r>
    </w:p>
    <w:p>
      <w:pPr>
        <w:pStyle w:val="8"/>
        <w:tabs>
          <w:tab w:val="right" w:leader="dot" w:pos="8306"/>
        </w:tabs>
      </w:pPr>
      <w:r>
        <w:rPr>
          <w:rFonts w:hint="eastAsia" w:ascii="仿宋" w:hAnsi="仿宋" w:eastAsia="仿宋"/>
          <w:color w:val="000000"/>
          <w:szCs w:val="32"/>
        </w:rPr>
        <w:t>（一）机关运行经费支出情况</w:t>
      </w:r>
      <w:r>
        <w:tab/>
      </w:r>
      <w:r>
        <w:fldChar w:fldCharType="begin"/>
      </w:r>
      <w:r>
        <w:instrText xml:space="preserve"> PAGEREF _Toc1810 \h </w:instrText>
      </w:r>
      <w:r>
        <w:fldChar w:fldCharType="separate"/>
      </w:r>
      <w:r>
        <w:t>12</w:t>
      </w:r>
      <w:r>
        <w:fldChar w:fldCharType="end"/>
      </w:r>
    </w:p>
    <w:p>
      <w:pPr>
        <w:pStyle w:val="8"/>
        <w:tabs>
          <w:tab w:val="right" w:leader="dot" w:pos="8306"/>
        </w:tabs>
      </w:pPr>
      <w:r>
        <w:rPr>
          <w:rFonts w:hint="eastAsia" w:ascii="仿宋" w:hAnsi="仿宋" w:eastAsia="仿宋"/>
          <w:color w:val="000000"/>
          <w:szCs w:val="32"/>
        </w:rPr>
        <w:t>（二）政府采购支出情况</w:t>
      </w:r>
      <w:r>
        <w:tab/>
      </w:r>
      <w:r>
        <w:fldChar w:fldCharType="begin"/>
      </w:r>
      <w:r>
        <w:instrText xml:space="preserve"> PAGEREF _Toc27254 \h </w:instrText>
      </w:r>
      <w:r>
        <w:fldChar w:fldCharType="separate"/>
      </w:r>
      <w:r>
        <w:t>13</w:t>
      </w:r>
      <w:r>
        <w:fldChar w:fldCharType="end"/>
      </w:r>
    </w:p>
    <w:p>
      <w:pPr>
        <w:pStyle w:val="8"/>
        <w:tabs>
          <w:tab w:val="right" w:leader="dot" w:pos="8306"/>
        </w:tabs>
      </w:pPr>
      <w:r>
        <w:rPr>
          <w:rFonts w:hint="eastAsia" w:ascii="仿宋" w:hAnsi="仿宋" w:eastAsia="仿宋"/>
          <w:color w:val="000000"/>
          <w:szCs w:val="32"/>
        </w:rPr>
        <w:t>（三）国有资产占有使用情况</w:t>
      </w:r>
      <w:r>
        <w:tab/>
      </w:r>
      <w:r>
        <w:fldChar w:fldCharType="begin"/>
      </w:r>
      <w:r>
        <w:instrText xml:space="preserve"> PAGEREF _Toc16852 \h </w:instrText>
      </w:r>
      <w:r>
        <w:fldChar w:fldCharType="separate"/>
      </w:r>
      <w:r>
        <w:t>13</w:t>
      </w:r>
      <w:r>
        <w:fldChar w:fldCharType="end"/>
      </w:r>
    </w:p>
    <w:p>
      <w:pPr>
        <w:pStyle w:val="8"/>
        <w:tabs>
          <w:tab w:val="right" w:leader="dot" w:pos="8306"/>
        </w:tabs>
      </w:pPr>
      <w:r>
        <w:rPr>
          <w:rFonts w:hint="eastAsia" w:ascii="仿宋" w:hAnsi="仿宋" w:eastAsia="仿宋"/>
          <w:color w:val="000000"/>
          <w:szCs w:val="32"/>
        </w:rPr>
        <w:t>（四）预算绩效管理情况。</w:t>
      </w:r>
      <w:r>
        <w:tab/>
      </w:r>
      <w:r>
        <w:fldChar w:fldCharType="begin"/>
      </w:r>
      <w:r>
        <w:instrText xml:space="preserve"> PAGEREF _Toc23691 \h </w:instrText>
      </w:r>
      <w:r>
        <w:fldChar w:fldCharType="separate"/>
      </w:r>
      <w:r>
        <w:t>13</w:t>
      </w:r>
      <w:r>
        <w:fldChar w:fldCharType="end"/>
      </w:r>
    </w:p>
    <w:p>
      <w:pPr>
        <w:pStyle w:val="13"/>
        <w:tabs>
          <w:tab w:val="right" w:leader="dot" w:pos="8306"/>
        </w:tabs>
      </w:pPr>
      <w:r>
        <w:rPr>
          <w:rFonts w:hint="eastAsia" w:ascii="黑体" w:hAnsi="黑体" w:eastAsia="黑体" w:cs="Times New Roman"/>
        </w:rPr>
        <w:t xml:space="preserve">第三部分 </w:t>
      </w:r>
      <w:r>
        <w:rPr>
          <w:rFonts w:hint="eastAsia" w:ascii="黑体" w:hAnsi="黑体" w:eastAsia="黑体"/>
          <w:color w:val="000000"/>
          <w:szCs w:val="44"/>
        </w:rPr>
        <w:t>名</w:t>
      </w:r>
      <w:r>
        <w:rPr>
          <w:rFonts w:hint="eastAsia" w:ascii="黑体" w:hAnsi="黑体" w:eastAsia="黑体"/>
        </w:rPr>
        <w:t>词解释</w:t>
      </w:r>
      <w:r>
        <w:tab/>
      </w:r>
      <w:r>
        <w:fldChar w:fldCharType="begin"/>
      </w:r>
      <w:r>
        <w:instrText xml:space="preserve"> PAGEREF _Toc31141 \h </w:instrText>
      </w:r>
      <w:r>
        <w:fldChar w:fldCharType="separate"/>
      </w:r>
      <w:r>
        <w:t>15</w:t>
      </w:r>
      <w:r>
        <w:fldChar w:fldCharType="end"/>
      </w:r>
    </w:p>
    <w:p>
      <w:pPr>
        <w:pStyle w:val="13"/>
        <w:tabs>
          <w:tab w:val="right" w:leader="dot" w:pos="8306"/>
        </w:tabs>
      </w:pPr>
      <w:r>
        <w:rPr>
          <w:rFonts w:hint="eastAsia" w:ascii="黑体" w:hAnsi="黑体" w:eastAsia="黑体"/>
          <w:color w:val="000000"/>
          <w:szCs w:val="44"/>
        </w:rPr>
        <w:t>第</w:t>
      </w:r>
      <w:r>
        <w:rPr>
          <w:rFonts w:hint="eastAsia" w:ascii="黑体" w:hAnsi="黑体" w:eastAsia="黑体"/>
        </w:rPr>
        <w:t>四部分</w:t>
      </w:r>
      <w:r>
        <w:rPr>
          <w:rFonts w:ascii="黑体" w:hAnsi="黑体" w:eastAsia="黑体"/>
        </w:rPr>
        <w:t xml:space="preserve"> </w:t>
      </w:r>
      <w:r>
        <w:rPr>
          <w:rFonts w:hint="eastAsia" w:ascii="黑体" w:hAnsi="黑体" w:eastAsia="黑体"/>
        </w:rPr>
        <w:t>附件</w:t>
      </w:r>
      <w:r>
        <w:tab/>
      </w:r>
      <w:r>
        <w:fldChar w:fldCharType="begin"/>
      </w:r>
      <w:r>
        <w:instrText xml:space="preserve"> PAGEREF _Toc11143 \h </w:instrText>
      </w:r>
      <w:r>
        <w:fldChar w:fldCharType="separate"/>
      </w:r>
      <w:r>
        <w:t>18</w:t>
      </w:r>
      <w:r>
        <w:fldChar w:fldCharType="end"/>
      </w:r>
    </w:p>
    <w:p>
      <w:pPr>
        <w:pStyle w:val="13"/>
        <w:tabs>
          <w:tab w:val="right" w:leader="dot" w:pos="8306"/>
        </w:tabs>
      </w:pPr>
      <w:r>
        <w:rPr>
          <w:rFonts w:hint="eastAsia" w:ascii="黑体" w:hAnsi="黑体" w:eastAsia="黑体"/>
          <w:color w:val="000000"/>
          <w:szCs w:val="44"/>
        </w:rPr>
        <w:t>第</w:t>
      </w:r>
      <w:r>
        <w:rPr>
          <w:rFonts w:hint="eastAsia" w:ascii="黑体" w:hAnsi="黑体" w:eastAsia="黑体"/>
        </w:rPr>
        <w:t>五部分</w:t>
      </w:r>
      <w:r>
        <w:rPr>
          <w:rFonts w:ascii="黑体" w:hAnsi="黑体" w:eastAsia="黑体"/>
        </w:rPr>
        <w:t xml:space="preserve"> </w:t>
      </w:r>
      <w:r>
        <w:rPr>
          <w:rFonts w:hint="eastAsia" w:ascii="黑体" w:hAnsi="黑体" w:eastAsia="黑体"/>
        </w:rPr>
        <w:t>附表</w:t>
      </w:r>
      <w:r>
        <w:tab/>
      </w:r>
      <w:r>
        <w:fldChar w:fldCharType="begin"/>
      </w:r>
      <w:r>
        <w:instrText xml:space="preserve"> PAGEREF _Toc14136 \h </w:instrText>
      </w:r>
      <w:r>
        <w:fldChar w:fldCharType="separate"/>
      </w:r>
      <w:r>
        <w:t>25</w:t>
      </w:r>
      <w:r>
        <w:fldChar w:fldCharType="end"/>
      </w:r>
    </w:p>
    <w:p>
      <w:pPr>
        <w:pStyle w:val="16"/>
        <w:tabs>
          <w:tab w:val="right" w:leader="dot" w:pos="8306"/>
        </w:tabs>
      </w:pPr>
      <w:r>
        <w:rPr>
          <w:rFonts w:hint="eastAsia" w:ascii="仿宋" w:hAnsi="仿宋" w:eastAsia="仿宋"/>
          <w:color w:val="000000"/>
        </w:rPr>
        <w:t>一、收</w:t>
      </w:r>
      <w:r>
        <w:rPr>
          <w:rFonts w:hint="eastAsia" w:ascii="仿宋" w:hAnsi="仿宋" w:eastAsia="仿宋"/>
          <w:bCs w:val="0"/>
        </w:rPr>
        <w:t>入支出决算总表</w:t>
      </w:r>
      <w:r>
        <w:tab/>
      </w:r>
      <w:r>
        <w:fldChar w:fldCharType="begin"/>
      </w:r>
      <w:r>
        <w:instrText xml:space="preserve"> PAGEREF _Toc21471 \h </w:instrText>
      </w:r>
      <w:r>
        <w:fldChar w:fldCharType="separate"/>
      </w:r>
      <w:r>
        <w:t>26</w:t>
      </w:r>
      <w:r>
        <w:fldChar w:fldCharType="end"/>
      </w:r>
    </w:p>
    <w:p>
      <w:pPr>
        <w:pStyle w:val="16"/>
        <w:tabs>
          <w:tab w:val="right" w:leader="dot" w:pos="8306"/>
        </w:tabs>
      </w:pPr>
      <w:r>
        <w:rPr>
          <w:rFonts w:hint="eastAsia" w:ascii="仿宋" w:hAnsi="仿宋" w:eastAsia="仿宋"/>
          <w:color w:val="000000"/>
        </w:rPr>
        <w:t>二、收</w:t>
      </w:r>
      <w:r>
        <w:rPr>
          <w:rFonts w:hint="eastAsia" w:ascii="仿宋" w:hAnsi="仿宋" w:eastAsia="仿宋"/>
          <w:bCs w:val="0"/>
        </w:rPr>
        <w:t>入决算表</w:t>
      </w:r>
      <w:r>
        <w:tab/>
      </w:r>
      <w:r>
        <w:fldChar w:fldCharType="begin"/>
      </w:r>
      <w:r>
        <w:instrText xml:space="preserve"> PAGEREF _Toc22101 \h </w:instrText>
      </w:r>
      <w:r>
        <w:fldChar w:fldCharType="separate"/>
      </w:r>
      <w:r>
        <w:t>26</w:t>
      </w:r>
      <w:r>
        <w:fldChar w:fldCharType="end"/>
      </w:r>
    </w:p>
    <w:p>
      <w:pPr>
        <w:pStyle w:val="16"/>
        <w:tabs>
          <w:tab w:val="right" w:leader="dot" w:pos="8306"/>
        </w:tabs>
      </w:pPr>
      <w:r>
        <w:rPr>
          <w:rFonts w:hint="eastAsia" w:ascii="仿宋" w:hAnsi="仿宋" w:eastAsia="仿宋"/>
          <w:bCs w:val="0"/>
        </w:rPr>
        <w:t>三、</w:t>
      </w:r>
      <w:r>
        <w:rPr>
          <w:rFonts w:hint="eastAsia" w:ascii="仿宋" w:hAnsi="仿宋" w:eastAsia="仿宋"/>
          <w:color w:val="000000"/>
        </w:rPr>
        <w:t>支</w:t>
      </w:r>
      <w:r>
        <w:rPr>
          <w:rFonts w:hint="eastAsia" w:ascii="仿宋" w:hAnsi="仿宋" w:eastAsia="仿宋"/>
          <w:bCs w:val="0"/>
        </w:rPr>
        <w:t>出决算表</w:t>
      </w:r>
      <w:r>
        <w:tab/>
      </w:r>
      <w:r>
        <w:fldChar w:fldCharType="begin"/>
      </w:r>
      <w:r>
        <w:instrText xml:space="preserve"> PAGEREF _Toc12764 \h </w:instrText>
      </w:r>
      <w:r>
        <w:fldChar w:fldCharType="separate"/>
      </w:r>
      <w:r>
        <w:t>26</w:t>
      </w:r>
      <w:r>
        <w:fldChar w:fldCharType="end"/>
      </w:r>
    </w:p>
    <w:p>
      <w:pPr>
        <w:pStyle w:val="16"/>
        <w:tabs>
          <w:tab w:val="right" w:leader="dot" w:pos="8306"/>
        </w:tabs>
      </w:pPr>
      <w:r>
        <w:rPr>
          <w:rFonts w:hint="eastAsia" w:ascii="仿宋" w:hAnsi="仿宋" w:eastAsia="仿宋"/>
          <w:bCs w:val="0"/>
        </w:rPr>
        <w:t>四、</w:t>
      </w:r>
      <w:r>
        <w:rPr>
          <w:rFonts w:hint="eastAsia" w:ascii="仿宋" w:hAnsi="仿宋" w:eastAsia="仿宋"/>
          <w:color w:val="000000"/>
        </w:rPr>
        <w:t>财</w:t>
      </w:r>
      <w:r>
        <w:rPr>
          <w:rFonts w:hint="eastAsia" w:ascii="仿宋" w:hAnsi="仿宋" w:eastAsia="仿宋"/>
          <w:bCs w:val="0"/>
        </w:rPr>
        <w:t>政拨款收入支出决算总表</w:t>
      </w:r>
      <w:r>
        <w:tab/>
      </w:r>
      <w:r>
        <w:fldChar w:fldCharType="begin"/>
      </w:r>
      <w:r>
        <w:instrText xml:space="preserve"> PAGEREF _Toc29185 \h </w:instrText>
      </w:r>
      <w:r>
        <w:fldChar w:fldCharType="separate"/>
      </w:r>
      <w:r>
        <w:t>26</w:t>
      </w:r>
      <w:r>
        <w:fldChar w:fldCharType="end"/>
      </w:r>
    </w:p>
    <w:p>
      <w:pPr>
        <w:pStyle w:val="16"/>
        <w:tabs>
          <w:tab w:val="right" w:leader="dot" w:pos="8306"/>
        </w:tabs>
      </w:pPr>
      <w:r>
        <w:rPr>
          <w:rFonts w:hint="eastAsia" w:ascii="仿宋" w:hAnsi="仿宋" w:eastAsia="仿宋"/>
          <w:bCs w:val="0"/>
        </w:rPr>
        <w:t>五、</w:t>
      </w:r>
      <w:r>
        <w:rPr>
          <w:rFonts w:hint="eastAsia" w:ascii="仿宋" w:hAnsi="仿宋" w:eastAsia="仿宋"/>
          <w:color w:val="000000"/>
        </w:rPr>
        <w:t>财</w:t>
      </w:r>
      <w:r>
        <w:rPr>
          <w:rFonts w:hint="eastAsia" w:ascii="仿宋" w:hAnsi="仿宋" w:eastAsia="仿宋"/>
          <w:bCs w:val="0"/>
        </w:rPr>
        <w:t>政拨款支出决算明细表</w:t>
      </w:r>
      <w:r>
        <w:tab/>
      </w:r>
      <w:r>
        <w:fldChar w:fldCharType="begin"/>
      </w:r>
      <w:r>
        <w:instrText xml:space="preserve"> PAGEREF _Toc1818 \h </w:instrText>
      </w:r>
      <w:r>
        <w:fldChar w:fldCharType="separate"/>
      </w:r>
      <w:r>
        <w:t>26</w:t>
      </w:r>
      <w:r>
        <w:fldChar w:fldCharType="end"/>
      </w:r>
    </w:p>
    <w:p>
      <w:pPr>
        <w:pStyle w:val="16"/>
        <w:tabs>
          <w:tab w:val="right" w:leader="dot" w:pos="8306"/>
        </w:tabs>
      </w:pPr>
      <w:r>
        <w:rPr>
          <w:rFonts w:hint="eastAsia" w:ascii="仿宋" w:hAnsi="仿宋" w:eastAsia="仿宋"/>
          <w:bCs w:val="0"/>
        </w:rPr>
        <w:t>六、</w:t>
      </w:r>
      <w:r>
        <w:rPr>
          <w:rFonts w:hint="eastAsia" w:ascii="仿宋" w:hAnsi="仿宋" w:eastAsia="仿宋"/>
          <w:color w:val="000000"/>
        </w:rPr>
        <w:t>一</w:t>
      </w:r>
      <w:r>
        <w:rPr>
          <w:rFonts w:hint="eastAsia" w:ascii="仿宋" w:hAnsi="仿宋" w:eastAsia="仿宋"/>
          <w:bCs w:val="0"/>
        </w:rPr>
        <w:t>般公共预算财政拨款支出决算表</w:t>
      </w:r>
      <w:r>
        <w:tab/>
      </w:r>
      <w:r>
        <w:fldChar w:fldCharType="begin"/>
      </w:r>
      <w:r>
        <w:instrText xml:space="preserve"> PAGEREF _Toc7717 \h </w:instrText>
      </w:r>
      <w:r>
        <w:fldChar w:fldCharType="separate"/>
      </w:r>
      <w:r>
        <w:t>26</w:t>
      </w:r>
      <w:r>
        <w:fldChar w:fldCharType="end"/>
      </w:r>
    </w:p>
    <w:p>
      <w:pPr>
        <w:pStyle w:val="16"/>
        <w:tabs>
          <w:tab w:val="right" w:leader="dot" w:pos="8306"/>
        </w:tabs>
      </w:pPr>
      <w:r>
        <w:rPr>
          <w:rFonts w:hint="eastAsia" w:ascii="仿宋" w:hAnsi="仿宋" w:eastAsia="仿宋"/>
          <w:bCs w:val="0"/>
        </w:rPr>
        <w:t>七、</w:t>
      </w:r>
      <w:r>
        <w:rPr>
          <w:rFonts w:hint="eastAsia" w:ascii="仿宋" w:hAnsi="仿宋" w:eastAsia="仿宋"/>
          <w:color w:val="000000"/>
        </w:rPr>
        <w:t>一</w:t>
      </w:r>
      <w:r>
        <w:rPr>
          <w:rFonts w:hint="eastAsia" w:ascii="仿宋" w:hAnsi="仿宋" w:eastAsia="仿宋"/>
          <w:bCs w:val="0"/>
        </w:rPr>
        <w:t>般公共预算财政拨款支出决算明细表</w:t>
      </w:r>
      <w:r>
        <w:tab/>
      </w:r>
      <w:r>
        <w:fldChar w:fldCharType="begin"/>
      </w:r>
      <w:r>
        <w:instrText xml:space="preserve"> PAGEREF _Toc4404 \h </w:instrText>
      </w:r>
      <w:r>
        <w:fldChar w:fldCharType="separate"/>
      </w:r>
      <w:r>
        <w:t>26</w:t>
      </w:r>
      <w:r>
        <w:fldChar w:fldCharType="end"/>
      </w:r>
    </w:p>
    <w:p>
      <w:pPr>
        <w:pStyle w:val="16"/>
        <w:tabs>
          <w:tab w:val="right" w:leader="dot" w:pos="8306"/>
        </w:tabs>
      </w:pPr>
      <w:r>
        <w:rPr>
          <w:rFonts w:hint="eastAsia" w:ascii="仿宋" w:hAnsi="仿宋" w:eastAsia="仿宋"/>
          <w:bCs w:val="0"/>
        </w:rPr>
        <w:t>八、</w:t>
      </w:r>
      <w:r>
        <w:rPr>
          <w:rFonts w:hint="eastAsia" w:ascii="仿宋" w:hAnsi="仿宋" w:eastAsia="仿宋"/>
          <w:color w:val="000000"/>
        </w:rPr>
        <w:t>一</w:t>
      </w:r>
      <w:r>
        <w:rPr>
          <w:rFonts w:hint="eastAsia" w:ascii="仿宋" w:hAnsi="仿宋" w:eastAsia="仿宋"/>
          <w:bCs w:val="0"/>
        </w:rPr>
        <w:t>般公共预算财政拨款基本支出决算表</w:t>
      </w:r>
      <w:r>
        <w:tab/>
      </w:r>
      <w:r>
        <w:fldChar w:fldCharType="begin"/>
      </w:r>
      <w:r>
        <w:instrText xml:space="preserve"> PAGEREF _Toc7652 \h </w:instrText>
      </w:r>
      <w:r>
        <w:fldChar w:fldCharType="separate"/>
      </w:r>
      <w:r>
        <w:t>26</w:t>
      </w:r>
      <w:r>
        <w:fldChar w:fldCharType="end"/>
      </w:r>
    </w:p>
    <w:p>
      <w:pPr>
        <w:pStyle w:val="16"/>
        <w:tabs>
          <w:tab w:val="right" w:leader="dot" w:pos="8306"/>
        </w:tabs>
      </w:pPr>
      <w:r>
        <w:rPr>
          <w:rFonts w:hint="eastAsia" w:ascii="仿宋" w:hAnsi="仿宋" w:eastAsia="仿宋"/>
          <w:bCs w:val="0"/>
        </w:rPr>
        <w:t>九、</w:t>
      </w:r>
      <w:r>
        <w:rPr>
          <w:rFonts w:hint="eastAsia" w:ascii="仿宋" w:hAnsi="仿宋" w:eastAsia="仿宋"/>
          <w:color w:val="000000"/>
        </w:rPr>
        <w:t>一</w:t>
      </w:r>
      <w:r>
        <w:rPr>
          <w:rFonts w:hint="eastAsia" w:ascii="仿宋" w:hAnsi="仿宋" w:eastAsia="仿宋"/>
          <w:bCs w:val="0"/>
        </w:rPr>
        <w:t>般公共预算财政拨款项目支出决算表</w:t>
      </w:r>
      <w:r>
        <w:tab/>
      </w:r>
      <w:r>
        <w:fldChar w:fldCharType="begin"/>
      </w:r>
      <w:r>
        <w:instrText xml:space="preserve"> PAGEREF _Toc23276 \h </w:instrText>
      </w:r>
      <w:r>
        <w:fldChar w:fldCharType="separate"/>
      </w:r>
      <w:r>
        <w:t>26</w:t>
      </w:r>
      <w:r>
        <w:fldChar w:fldCharType="end"/>
      </w:r>
    </w:p>
    <w:p>
      <w:pPr>
        <w:pStyle w:val="16"/>
        <w:tabs>
          <w:tab w:val="right" w:leader="dot" w:pos="8306"/>
        </w:tabs>
      </w:pPr>
      <w:r>
        <w:rPr>
          <w:rFonts w:hint="eastAsia" w:ascii="仿宋" w:hAnsi="仿宋" w:eastAsia="仿宋"/>
          <w:bCs w:val="0"/>
        </w:rPr>
        <w:t>十、</w:t>
      </w:r>
      <w:r>
        <w:rPr>
          <w:rFonts w:hint="eastAsia" w:ascii="仿宋" w:hAnsi="仿宋" w:eastAsia="仿宋"/>
          <w:color w:val="000000"/>
        </w:rPr>
        <w:t>一</w:t>
      </w:r>
      <w:r>
        <w:rPr>
          <w:rFonts w:hint="eastAsia" w:ascii="仿宋" w:hAnsi="仿宋" w:eastAsia="仿宋"/>
          <w:bCs w:val="0"/>
        </w:rPr>
        <w:t>般公共预算财政拨款“三公”经费支出决算表</w:t>
      </w:r>
      <w:r>
        <w:tab/>
      </w:r>
      <w:r>
        <w:fldChar w:fldCharType="begin"/>
      </w:r>
      <w:r>
        <w:instrText xml:space="preserve"> PAGEREF _Toc31870 \h </w:instrText>
      </w:r>
      <w:r>
        <w:fldChar w:fldCharType="separate"/>
      </w:r>
      <w:r>
        <w:t>26</w:t>
      </w:r>
      <w:r>
        <w:fldChar w:fldCharType="end"/>
      </w:r>
    </w:p>
    <w:p>
      <w:pPr>
        <w:pStyle w:val="16"/>
        <w:tabs>
          <w:tab w:val="right" w:leader="dot" w:pos="8306"/>
        </w:tabs>
      </w:pPr>
      <w:r>
        <w:rPr>
          <w:rFonts w:hint="eastAsia" w:ascii="仿宋" w:hAnsi="仿宋" w:eastAsia="仿宋"/>
          <w:bCs w:val="0"/>
        </w:rPr>
        <w:t>十一、</w:t>
      </w:r>
      <w:r>
        <w:rPr>
          <w:rFonts w:hint="eastAsia" w:ascii="仿宋" w:hAnsi="仿宋" w:eastAsia="仿宋"/>
          <w:color w:val="000000"/>
        </w:rPr>
        <w:t>政</w:t>
      </w:r>
      <w:r>
        <w:rPr>
          <w:rFonts w:hint="eastAsia" w:ascii="仿宋" w:hAnsi="仿宋" w:eastAsia="仿宋"/>
          <w:bCs w:val="0"/>
        </w:rPr>
        <w:t>府性基金预算财政拨款收入支出决算表</w:t>
      </w:r>
      <w:r>
        <w:tab/>
      </w:r>
      <w:r>
        <w:fldChar w:fldCharType="begin"/>
      </w:r>
      <w:r>
        <w:instrText xml:space="preserve"> PAGEREF _Toc18429 \h </w:instrText>
      </w:r>
      <w:r>
        <w:fldChar w:fldCharType="separate"/>
      </w:r>
      <w:r>
        <w:t>26</w:t>
      </w:r>
      <w:r>
        <w:fldChar w:fldCharType="end"/>
      </w:r>
    </w:p>
    <w:p>
      <w:pPr>
        <w:pStyle w:val="16"/>
        <w:tabs>
          <w:tab w:val="right" w:leader="dot" w:pos="8306"/>
        </w:tabs>
      </w:pPr>
      <w:r>
        <w:rPr>
          <w:rFonts w:hint="eastAsia" w:ascii="仿宋" w:hAnsi="仿宋" w:eastAsia="仿宋"/>
          <w:bCs w:val="0"/>
        </w:rPr>
        <w:t>十二、</w:t>
      </w:r>
      <w:r>
        <w:rPr>
          <w:rFonts w:hint="eastAsia" w:ascii="仿宋" w:hAnsi="仿宋" w:eastAsia="仿宋"/>
          <w:color w:val="000000"/>
        </w:rPr>
        <w:t>政</w:t>
      </w:r>
      <w:r>
        <w:rPr>
          <w:rFonts w:hint="eastAsia" w:ascii="仿宋" w:hAnsi="仿宋" w:eastAsia="仿宋"/>
          <w:bCs w:val="0"/>
        </w:rPr>
        <w:t>府性基金预算财政拨款“三公”经费支出决算表</w:t>
      </w:r>
      <w:r>
        <w:tab/>
      </w:r>
      <w:r>
        <w:fldChar w:fldCharType="begin"/>
      </w:r>
      <w:r>
        <w:instrText xml:space="preserve"> PAGEREF _Toc26189 \h </w:instrText>
      </w:r>
      <w:r>
        <w:fldChar w:fldCharType="separate"/>
      </w:r>
      <w:r>
        <w:t>26</w:t>
      </w:r>
      <w:r>
        <w:fldChar w:fldCharType="end"/>
      </w:r>
    </w:p>
    <w:p>
      <w:pPr>
        <w:pStyle w:val="16"/>
        <w:tabs>
          <w:tab w:val="right" w:leader="dot" w:pos="8306"/>
        </w:tabs>
      </w:pPr>
      <w:r>
        <w:rPr>
          <w:rFonts w:hint="eastAsia" w:ascii="仿宋" w:hAnsi="仿宋" w:eastAsia="仿宋"/>
          <w:bCs w:val="0"/>
        </w:rPr>
        <w:t>十三、</w:t>
      </w:r>
      <w:r>
        <w:rPr>
          <w:rFonts w:hint="eastAsia" w:ascii="仿宋" w:hAnsi="仿宋" w:eastAsia="仿宋"/>
          <w:color w:val="000000"/>
        </w:rPr>
        <w:t>国</w:t>
      </w:r>
      <w:r>
        <w:rPr>
          <w:rFonts w:hint="eastAsia" w:ascii="仿宋" w:hAnsi="仿宋" w:eastAsia="仿宋"/>
          <w:bCs w:val="0"/>
        </w:rPr>
        <w:t>有资本经营预算财政拨款支出决算表</w:t>
      </w:r>
      <w:r>
        <w:tab/>
      </w:r>
      <w:r>
        <w:fldChar w:fldCharType="begin"/>
      </w:r>
      <w:r>
        <w:instrText xml:space="preserve"> PAGEREF _Toc5280 \h </w:instrText>
      </w:r>
      <w:r>
        <w:fldChar w:fldCharType="separate"/>
      </w:r>
      <w:r>
        <w:t>26</w:t>
      </w:r>
      <w:r>
        <w:fldChar w:fldCharType="end"/>
      </w:r>
    </w:p>
    <w:p>
      <w:pPr>
        <w:pStyle w:val="16"/>
        <w:tabs>
          <w:tab w:val="right" w:leader="dot" w:pos="8306"/>
        </w:tabs>
      </w:pPr>
      <w:r>
        <w:rPr>
          <w:rFonts w:hint="eastAsia" w:ascii="仿宋" w:hAnsi="仿宋" w:eastAsia="仿宋"/>
          <w:bCs w:val="0"/>
        </w:rPr>
        <w:t>十四、国有资本经营预算财政拨款支出决算表</w:t>
      </w:r>
      <w:r>
        <w:tab/>
      </w:r>
      <w:r>
        <w:fldChar w:fldCharType="begin"/>
      </w:r>
      <w:r>
        <w:instrText xml:space="preserve"> PAGEREF _Toc2769 \h </w:instrText>
      </w:r>
      <w:r>
        <w:fldChar w:fldCharType="separate"/>
      </w:r>
      <w:r>
        <w:t>26</w:t>
      </w:r>
      <w:r>
        <w:fldChar w:fldCharType="end"/>
      </w:r>
    </w:p>
    <w:p>
      <w:pPr>
        <w:keepNext w:val="0"/>
        <w:keepLines w:val="0"/>
        <w:pageBreakBefore w:val="0"/>
        <w:widowControl w:val="0"/>
        <w:kinsoku/>
        <w:wordWrap/>
        <w:overflowPunct/>
        <w:topLinePunct w:val="0"/>
        <w:autoSpaceDE/>
        <w:autoSpaceDN/>
        <w:bidi w:val="0"/>
        <w:adjustRightInd/>
        <w:snapToGrid/>
        <w:ind w:left="0"/>
        <w:textAlignment w:val="auto"/>
        <w:rPr>
          <w:rFonts w:asciiTheme="minorHAnsi" w:eastAsiaTheme="minorHAnsi"/>
          <w:bCs/>
          <w:caps/>
          <w:szCs w:val="20"/>
        </w:rPr>
      </w:pPr>
      <w:r>
        <w:rPr>
          <w:rFonts w:asciiTheme="minorHAnsi" w:eastAsiaTheme="minorHAnsi"/>
          <w:bCs/>
          <w:caps/>
          <w:szCs w:val="20"/>
        </w:rPr>
        <w:fldChar w:fldCharType="end"/>
      </w:r>
      <w:bookmarkStart w:id="12" w:name="_Toc15396599"/>
      <w:bookmarkStart w:id="13" w:name="_Toc15377196"/>
      <w:bookmarkStart w:id="14" w:name="_Toc79163601"/>
    </w:p>
    <w:p>
      <w:pPr>
        <w:pStyle w:val="2"/>
        <w:rPr>
          <w:rFonts w:asciiTheme="minorHAnsi" w:eastAsiaTheme="minorHAnsi"/>
          <w:bCs/>
          <w:caps/>
          <w:szCs w:val="20"/>
        </w:rPr>
      </w:pPr>
    </w:p>
    <w:p>
      <w:pPr>
        <w:rPr>
          <w:rFonts w:asciiTheme="minorHAnsi" w:eastAsiaTheme="minorHAnsi"/>
          <w:bCs/>
          <w:caps/>
          <w:szCs w:val="20"/>
        </w:rPr>
      </w:pPr>
    </w:p>
    <w:p>
      <w:pPr>
        <w:pStyle w:val="2"/>
        <w:rPr>
          <w:rFonts w:asciiTheme="minorHAnsi" w:eastAsiaTheme="minorHAnsi"/>
          <w:bCs/>
          <w:caps/>
          <w:szCs w:val="20"/>
        </w:rPr>
      </w:pPr>
    </w:p>
    <w:p>
      <w:pPr>
        <w:rPr>
          <w:rFonts w:asciiTheme="minorHAnsi" w:eastAsiaTheme="minorHAnsi"/>
          <w:bCs/>
          <w:caps/>
          <w:szCs w:val="20"/>
        </w:rPr>
      </w:pPr>
    </w:p>
    <w:p>
      <w:pPr>
        <w:pStyle w:val="2"/>
        <w:rPr>
          <w:rFonts w:asciiTheme="minorHAnsi" w:eastAsiaTheme="minorHAnsi"/>
          <w:bCs/>
          <w:caps/>
          <w:szCs w:val="20"/>
        </w:rPr>
      </w:pPr>
    </w:p>
    <w:p>
      <w:pPr>
        <w:rPr>
          <w:rFonts w:asciiTheme="minorHAnsi" w:eastAsiaTheme="minorHAnsi"/>
          <w:bCs/>
          <w:caps/>
          <w:szCs w:val="20"/>
        </w:rPr>
      </w:pPr>
    </w:p>
    <w:p>
      <w:pPr>
        <w:pStyle w:val="2"/>
        <w:rPr>
          <w:rFonts w:asciiTheme="minorHAnsi" w:eastAsiaTheme="minorHAnsi"/>
          <w:bCs/>
          <w:caps/>
          <w:szCs w:val="20"/>
        </w:rPr>
      </w:pPr>
    </w:p>
    <w:p>
      <w:pPr>
        <w:rPr>
          <w:rFonts w:asciiTheme="minorHAnsi" w:eastAsiaTheme="minorHAnsi"/>
          <w:bCs/>
          <w:caps/>
          <w:szCs w:val="20"/>
        </w:rPr>
      </w:pPr>
    </w:p>
    <w:p>
      <w:pPr>
        <w:pStyle w:val="2"/>
        <w:rPr>
          <w:rFonts w:asciiTheme="minorHAnsi" w:eastAsiaTheme="minorHAnsi"/>
          <w:bCs/>
          <w:caps/>
          <w:szCs w:val="20"/>
        </w:rPr>
      </w:pPr>
    </w:p>
    <w:p>
      <w:pPr>
        <w:rPr>
          <w:rFonts w:asciiTheme="minorHAnsi" w:eastAsiaTheme="minorHAnsi"/>
          <w:bCs/>
          <w:caps/>
          <w:szCs w:val="20"/>
        </w:rPr>
      </w:pPr>
    </w:p>
    <w:p>
      <w:pPr>
        <w:pStyle w:val="2"/>
        <w:rPr>
          <w:rFonts w:asciiTheme="minorHAnsi" w:eastAsiaTheme="minorHAnsi"/>
          <w:bCs/>
          <w:caps/>
          <w:szCs w:val="20"/>
        </w:rPr>
      </w:pPr>
    </w:p>
    <w:p>
      <w:pPr>
        <w:rPr>
          <w:rFonts w:asciiTheme="minorHAnsi" w:eastAsiaTheme="minorHAnsi"/>
          <w:bCs/>
          <w:caps/>
          <w:szCs w:val="20"/>
        </w:rPr>
      </w:pPr>
    </w:p>
    <w:p>
      <w:pPr>
        <w:pStyle w:val="2"/>
        <w:rPr>
          <w:rFonts w:asciiTheme="minorHAnsi" w:eastAsiaTheme="minorHAnsi"/>
          <w:bCs/>
          <w:caps/>
          <w:szCs w:val="20"/>
        </w:rPr>
      </w:pPr>
    </w:p>
    <w:p>
      <w:pPr>
        <w:rPr>
          <w:rFonts w:asciiTheme="minorHAnsi" w:eastAsiaTheme="minorHAnsi"/>
          <w:bCs/>
          <w:caps/>
          <w:szCs w:val="20"/>
        </w:rPr>
      </w:pPr>
    </w:p>
    <w:p>
      <w:pPr>
        <w:pStyle w:val="2"/>
        <w:rPr>
          <w:rFonts w:asciiTheme="minorHAnsi" w:eastAsiaTheme="minorHAnsi"/>
          <w:bCs/>
          <w:caps/>
          <w:szCs w:val="20"/>
        </w:rPr>
      </w:pPr>
    </w:p>
    <w:p>
      <w:pPr>
        <w:rPr>
          <w:rFonts w:hint="eastAsia"/>
        </w:rPr>
      </w:pPr>
    </w:p>
    <w:p>
      <w:pPr>
        <w:pStyle w:val="3"/>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黑体" w:hAnsi="黑体" w:eastAsia="黑体"/>
          <w:b w:val="0"/>
        </w:rPr>
        <w:sectPr>
          <w:footerReference r:id="rId4" w:type="first"/>
          <w:headerReference r:id="rId3" w:type="default"/>
          <w:pgSz w:w="11906" w:h="16838"/>
          <w:pgMar w:top="1440" w:right="1800" w:bottom="1440" w:left="1800" w:header="851" w:footer="992" w:gutter="0"/>
          <w:pgNumType w:start="1"/>
          <w:cols w:space="425" w:num="1"/>
          <w:docGrid w:type="lines" w:linePitch="312" w:charSpace="0"/>
        </w:sectPr>
      </w:pPr>
    </w:p>
    <w:p>
      <w:pPr>
        <w:rPr>
          <w:rFonts w:hint="eastAsia"/>
        </w:rPr>
      </w:pPr>
    </w:p>
    <w:p>
      <w:pPr>
        <w:pStyle w:val="3"/>
        <w:keepNext/>
        <w:keepLines/>
        <w:pageBreakBefore w:val="0"/>
        <w:widowControl w:val="0"/>
        <w:kinsoku/>
        <w:wordWrap/>
        <w:overflowPunct/>
        <w:topLinePunct w:val="0"/>
        <w:autoSpaceDE/>
        <w:autoSpaceDN/>
        <w:bidi w:val="0"/>
        <w:adjustRightInd/>
        <w:snapToGrid/>
        <w:spacing w:before="0" w:after="0" w:line="560" w:lineRule="exact"/>
        <w:ind w:firstLine="2640" w:firstLineChars="600"/>
        <w:jc w:val="both"/>
        <w:textAlignment w:val="auto"/>
        <w:rPr>
          <w:rStyle w:val="24"/>
          <w:rFonts w:ascii="黑体" w:hAnsi="黑体" w:eastAsia="黑体"/>
          <w:b/>
          <w:bCs w:val="0"/>
        </w:rPr>
      </w:pPr>
      <w:bookmarkStart w:id="15" w:name="_Toc27315"/>
      <w:r>
        <w:rPr>
          <w:rFonts w:hint="eastAsia" w:ascii="黑体" w:hAnsi="黑体" w:eastAsia="黑体"/>
          <w:b w:val="0"/>
        </w:rPr>
        <w:t>第一部分</w:t>
      </w:r>
      <w:r>
        <w:rPr>
          <w:rFonts w:ascii="黑体" w:hAnsi="黑体" w:eastAsia="黑体"/>
          <w:b w:val="0"/>
        </w:rPr>
        <w:t xml:space="preserve"> </w:t>
      </w:r>
      <w:r>
        <w:rPr>
          <w:rStyle w:val="24"/>
          <w:rFonts w:hint="eastAsia" w:ascii="黑体" w:hAnsi="黑体" w:eastAsia="黑体"/>
          <w:b w:val="0"/>
          <w:bCs w:val="0"/>
        </w:rPr>
        <w:t>部门概况</w:t>
      </w:r>
      <w:bookmarkEnd w:id="12"/>
      <w:bookmarkEnd w:id="13"/>
      <w:bookmarkEnd w:id="14"/>
      <w:bookmarkEnd w:id="15"/>
    </w:p>
    <w:p>
      <w:pPr>
        <w:pStyle w:val="4"/>
        <w:pageBreakBefore w:val="0"/>
        <w:widowControl w:val="0"/>
        <w:kinsoku/>
        <w:wordWrap/>
        <w:overflowPunct/>
        <w:topLinePunct w:val="0"/>
        <w:autoSpaceDE/>
        <w:autoSpaceDN/>
        <w:bidi w:val="0"/>
        <w:spacing w:before="0" w:after="0" w:line="560" w:lineRule="exact"/>
        <w:textAlignment w:val="auto"/>
        <w:rPr>
          <w:rFonts w:hint="eastAsia" w:ascii="黑体" w:hAnsi="黑体" w:eastAsia="黑体"/>
          <w:b w:val="0"/>
          <w:color w:val="000000"/>
        </w:rPr>
      </w:pPr>
      <w:bookmarkStart w:id="16" w:name="_Toc15396600"/>
      <w:bookmarkStart w:id="17" w:name="_Toc15377197"/>
      <w:bookmarkStart w:id="18" w:name="_Toc79163602"/>
    </w:p>
    <w:p>
      <w:pPr>
        <w:pStyle w:val="4"/>
        <w:pageBreakBefore w:val="0"/>
        <w:widowControl w:val="0"/>
        <w:kinsoku/>
        <w:wordWrap/>
        <w:overflowPunct/>
        <w:topLinePunct w:val="0"/>
        <w:autoSpaceDE/>
        <w:autoSpaceDN/>
        <w:bidi w:val="0"/>
        <w:spacing w:before="0" w:after="0" w:line="560" w:lineRule="exact"/>
        <w:textAlignment w:val="auto"/>
        <w:rPr>
          <w:rStyle w:val="25"/>
          <w:rFonts w:ascii="仿宋" w:hAnsi="仿宋" w:eastAsia="仿宋"/>
          <w:b w:val="0"/>
          <w:bCs w:val="0"/>
        </w:rPr>
      </w:pPr>
      <w:bookmarkStart w:id="19" w:name="_Toc7199"/>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6"/>
      <w:bookmarkEnd w:id="17"/>
      <w:bookmarkEnd w:id="18"/>
      <w:bookmarkEnd w:id="19"/>
    </w:p>
    <w:p>
      <w:pPr>
        <w:pStyle w:val="2"/>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ascii="仿宋" w:hAnsi="仿宋" w:eastAsia="仿宋"/>
          <w:bCs/>
          <w:color w:val="000000"/>
          <w:sz w:val="32"/>
          <w:szCs w:val="32"/>
        </w:rPr>
      </w:pPr>
      <w:bookmarkStart w:id="20" w:name="_Toc79163603"/>
      <w:bookmarkStart w:id="21" w:name="_Toc12226"/>
      <w:bookmarkStart w:id="22" w:name="_Toc15378445"/>
      <w:bookmarkStart w:id="23" w:name="_Toc15377198"/>
      <w:r>
        <w:rPr>
          <w:rFonts w:hint="eastAsia" w:ascii="仿宋" w:hAnsi="仿宋" w:eastAsia="仿宋"/>
          <w:bCs/>
          <w:color w:val="000000"/>
          <w:sz w:val="32"/>
          <w:szCs w:val="32"/>
        </w:rPr>
        <w:t>（一）主要职能。</w:t>
      </w:r>
      <w:bookmarkEnd w:id="20"/>
      <w:bookmarkEnd w:id="21"/>
    </w:p>
    <w:bookmarkEnd w:id="22"/>
    <w:bookmarkEnd w:id="23"/>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outlineLvl w:val="9"/>
        <w:rPr>
          <w:rFonts w:hint="eastAsia" w:ascii="仿宋" w:hAnsi="仿宋" w:eastAsia="仿宋"/>
          <w:bCs/>
          <w:color w:val="000000"/>
          <w:sz w:val="32"/>
          <w:szCs w:val="32"/>
          <w:lang w:val="zh-CN" w:eastAsia="zh-CN"/>
        </w:rPr>
      </w:pPr>
      <w:bookmarkStart w:id="24" w:name="_Toc15377199"/>
      <w:bookmarkStart w:id="25" w:name="_Toc79163604"/>
      <w:bookmarkStart w:id="26" w:name="_Toc15378446"/>
      <w:r>
        <w:rPr>
          <w:rFonts w:hint="eastAsia" w:ascii="仿宋" w:hAnsi="仿宋" w:eastAsia="仿宋"/>
          <w:bCs/>
          <w:color w:val="000000"/>
          <w:sz w:val="32"/>
          <w:szCs w:val="32"/>
          <w:lang w:val="zh-CN" w:eastAsia="zh-CN"/>
        </w:rPr>
        <w:t>1.深入贯彻习近平新时代中国特色社会主义思想，深入贯彻党的路线方针政策和决策部署，统一检察队伍思想和行动，坚持党对检察工作的绝对领导，坚决维护习近平总书记的核心地位，坚决维护党中央权威和集中统一领导。</w:t>
      </w:r>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outlineLvl w:val="9"/>
        <w:rPr>
          <w:rFonts w:hint="eastAsia" w:ascii="仿宋" w:hAnsi="仿宋" w:eastAsia="仿宋"/>
          <w:bCs/>
          <w:color w:val="000000"/>
          <w:sz w:val="32"/>
          <w:szCs w:val="32"/>
          <w:lang w:val="zh-CN" w:eastAsia="zh-CN"/>
        </w:rPr>
      </w:pPr>
      <w:r>
        <w:rPr>
          <w:rFonts w:hint="eastAsia" w:ascii="仿宋" w:hAnsi="仿宋" w:eastAsia="仿宋"/>
          <w:bCs/>
          <w:color w:val="000000"/>
          <w:sz w:val="32"/>
          <w:szCs w:val="32"/>
          <w:lang w:val="en-US" w:eastAsia="zh-CN"/>
        </w:rPr>
        <w:t>2</w:t>
      </w:r>
      <w:r>
        <w:rPr>
          <w:rFonts w:hint="eastAsia" w:ascii="仿宋" w:hAnsi="仿宋" w:eastAsia="仿宋"/>
          <w:bCs/>
          <w:color w:val="000000"/>
          <w:sz w:val="32"/>
          <w:szCs w:val="32"/>
          <w:lang w:val="zh-CN" w:eastAsia="zh-CN"/>
        </w:rPr>
        <w:t>.按照上级检察机关确定的工作方针，研究制定壤塘县人民检察院检察工作规划，部署检察工作任务。</w:t>
      </w:r>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outlineLvl w:val="9"/>
        <w:rPr>
          <w:rFonts w:hint="eastAsia" w:ascii="仿宋" w:hAnsi="仿宋" w:eastAsia="仿宋"/>
          <w:bCs/>
          <w:color w:val="000000"/>
          <w:sz w:val="32"/>
          <w:szCs w:val="32"/>
          <w:lang w:val="zh-CN" w:eastAsia="zh-CN"/>
        </w:rPr>
      </w:pPr>
      <w:r>
        <w:rPr>
          <w:rFonts w:hint="eastAsia" w:ascii="仿宋" w:hAnsi="仿宋" w:eastAsia="仿宋"/>
          <w:bCs/>
          <w:color w:val="000000"/>
          <w:sz w:val="32"/>
          <w:szCs w:val="32"/>
          <w:lang w:val="en-US" w:eastAsia="zh-CN"/>
        </w:rPr>
        <w:t>3</w:t>
      </w:r>
      <w:r>
        <w:rPr>
          <w:rFonts w:hint="eastAsia" w:ascii="仿宋" w:hAnsi="仿宋" w:eastAsia="仿宋"/>
          <w:bCs/>
          <w:color w:val="000000"/>
          <w:sz w:val="32"/>
          <w:szCs w:val="32"/>
          <w:lang w:val="zh-CN" w:eastAsia="zh-CN"/>
        </w:rPr>
        <w:t>.依照法律规定，对由壤塘县人民检察院直接受理的刑事案件行使侦查权。</w:t>
      </w:r>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outlineLvl w:val="9"/>
        <w:rPr>
          <w:rFonts w:hint="eastAsia" w:ascii="仿宋" w:hAnsi="仿宋" w:eastAsia="仿宋"/>
          <w:bCs/>
          <w:color w:val="000000"/>
          <w:sz w:val="32"/>
          <w:szCs w:val="32"/>
          <w:lang w:val="zh-CN" w:eastAsia="zh-CN"/>
        </w:rPr>
      </w:pPr>
      <w:r>
        <w:rPr>
          <w:rFonts w:hint="eastAsia" w:ascii="仿宋" w:hAnsi="仿宋" w:eastAsia="仿宋"/>
          <w:bCs/>
          <w:color w:val="000000"/>
          <w:sz w:val="32"/>
          <w:szCs w:val="32"/>
          <w:lang w:val="en-US" w:eastAsia="zh-CN"/>
        </w:rPr>
        <w:t>4</w:t>
      </w:r>
      <w:r>
        <w:rPr>
          <w:rFonts w:hint="eastAsia" w:ascii="仿宋" w:hAnsi="仿宋" w:eastAsia="仿宋"/>
          <w:bCs/>
          <w:color w:val="000000"/>
          <w:sz w:val="32"/>
          <w:szCs w:val="32"/>
          <w:lang w:val="zh-CN" w:eastAsia="zh-CN"/>
        </w:rPr>
        <w:t>.对刑事案件依法审查批准逮捕、决定逮捕、提起公诉。</w:t>
      </w:r>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outlineLvl w:val="9"/>
        <w:rPr>
          <w:rFonts w:hint="eastAsia" w:ascii="仿宋" w:hAnsi="仿宋" w:eastAsia="仿宋"/>
          <w:bCs/>
          <w:color w:val="000000"/>
          <w:sz w:val="32"/>
          <w:szCs w:val="32"/>
          <w:lang w:val="zh-CN" w:eastAsia="zh-CN"/>
        </w:rPr>
      </w:pPr>
      <w:r>
        <w:rPr>
          <w:rFonts w:hint="eastAsia" w:ascii="仿宋" w:hAnsi="仿宋" w:eastAsia="仿宋"/>
          <w:bCs/>
          <w:color w:val="000000"/>
          <w:sz w:val="32"/>
          <w:szCs w:val="32"/>
          <w:lang w:val="en-US" w:eastAsia="zh-CN"/>
        </w:rPr>
        <w:t>5</w:t>
      </w:r>
      <w:r>
        <w:rPr>
          <w:rFonts w:hint="eastAsia" w:ascii="仿宋" w:hAnsi="仿宋" w:eastAsia="仿宋"/>
          <w:bCs/>
          <w:color w:val="000000"/>
          <w:sz w:val="32"/>
          <w:szCs w:val="32"/>
          <w:lang w:val="zh-CN" w:eastAsia="zh-CN"/>
        </w:rPr>
        <w:t>.负责应由壤塘县人民检察院承办的刑事、民事、行政诉讼活动及刑事、民事、行政判决和裁定等生效法律文书执行的法律监督工作。</w:t>
      </w:r>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outlineLvl w:val="9"/>
        <w:rPr>
          <w:rFonts w:hint="eastAsia" w:ascii="仿宋" w:hAnsi="仿宋" w:eastAsia="仿宋"/>
          <w:bCs/>
          <w:color w:val="000000"/>
          <w:sz w:val="32"/>
          <w:szCs w:val="32"/>
          <w:lang w:val="zh-CN" w:eastAsia="zh-CN"/>
        </w:rPr>
      </w:pPr>
      <w:r>
        <w:rPr>
          <w:rFonts w:hint="eastAsia" w:ascii="仿宋" w:hAnsi="仿宋" w:eastAsia="仿宋"/>
          <w:bCs/>
          <w:color w:val="000000"/>
          <w:sz w:val="32"/>
          <w:szCs w:val="32"/>
          <w:lang w:val="en-US" w:eastAsia="zh-CN"/>
        </w:rPr>
        <w:t>6</w:t>
      </w:r>
      <w:r>
        <w:rPr>
          <w:rFonts w:hint="eastAsia" w:ascii="仿宋" w:hAnsi="仿宋" w:eastAsia="仿宋"/>
          <w:bCs/>
          <w:color w:val="000000"/>
          <w:sz w:val="32"/>
          <w:szCs w:val="32"/>
          <w:lang w:val="zh-CN" w:eastAsia="zh-CN"/>
        </w:rPr>
        <w:t>.负责应由壤塘县人民检察院承办的提起公益诉讼工作。</w:t>
      </w:r>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outlineLvl w:val="9"/>
        <w:rPr>
          <w:rFonts w:hint="eastAsia" w:ascii="仿宋" w:hAnsi="仿宋" w:eastAsia="仿宋"/>
          <w:bCs/>
          <w:color w:val="000000"/>
          <w:sz w:val="32"/>
          <w:szCs w:val="32"/>
          <w:lang w:val="zh-CN" w:eastAsia="zh-CN"/>
        </w:rPr>
      </w:pPr>
      <w:r>
        <w:rPr>
          <w:rFonts w:hint="eastAsia" w:ascii="仿宋" w:hAnsi="仿宋" w:eastAsia="仿宋"/>
          <w:bCs/>
          <w:color w:val="000000"/>
          <w:sz w:val="32"/>
          <w:szCs w:val="32"/>
          <w:lang w:val="en-US" w:eastAsia="zh-CN"/>
        </w:rPr>
        <w:t>7</w:t>
      </w:r>
      <w:r>
        <w:rPr>
          <w:rFonts w:hint="eastAsia" w:ascii="仿宋" w:hAnsi="仿宋" w:eastAsia="仿宋"/>
          <w:bCs/>
          <w:color w:val="000000"/>
          <w:sz w:val="32"/>
          <w:szCs w:val="32"/>
          <w:lang w:val="zh-CN" w:eastAsia="zh-CN"/>
        </w:rPr>
        <w:t>.负责应由壤塘县人民检察院承办的对监狱、看守所等执法活动的法律监督工作。</w:t>
      </w:r>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outlineLvl w:val="9"/>
        <w:rPr>
          <w:rFonts w:hint="eastAsia" w:ascii="仿宋" w:hAnsi="仿宋" w:eastAsia="仿宋"/>
          <w:bCs/>
          <w:color w:val="000000"/>
          <w:sz w:val="32"/>
          <w:szCs w:val="32"/>
          <w:lang w:val="zh-CN" w:eastAsia="zh-CN"/>
        </w:rPr>
      </w:pPr>
      <w:r>
        <w:rPr>
          <w:rFonts w:hint="eastAsia" w:ascii="仿宋" w:hAnsi="仿宋" w:eastAsia="仿宋"/>
          <w:bCs/>
          <w:color w:val="000000"/>
          <w:sz w:val="32"/>
          <w:szCs w:val="32"/>
          <w:lang w:val="en-US" w:eastAsia="zh-CN"/>
        </w:rPr>
        <w:t>8</w:t>
      </w:r>
      <w:r>
        <w:rPr>
          <w:rFonts w:hint="eastAsia" w:ascii="仿宋" w:hAnsi="仿宋" w:eastAsia="仿宋"/>
          <w:bCs/>
          <w:color w:val="000000"/>
          <w:sz w:val="32"/>
          <w:szCs w:val="32"/>
          <w:lang w:val="zh-CN" w:eastAsia="zh-CN"/>
        </w:rPr>
        <w:t>.受理向壤塘县人民检察院的控告申诉。</w:t>
      </w:r>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outlineLvl w:val="9"/>
        <w:rPr>
          <w:rFonts w:hint="eastAsia" w:ascii="仿宋" w:hAnsi="仿宋" w:eastAsia="仿宋"/>
          <w:bCs/>
          <w:color w:val="000000"/>
          <w:sz w:val="32"/>
          <w:szCs w:val="32"/>
          <w:lang w:val="zh-CN" w:eastAsia="zh-CN"/>
        </w:rPr>
      </w:pPr>
      <w:r>
        <w:rPr>
          <w:rFonts w:hint="eastAsia" w:ascii="仿宋" w:hAnsi="仿宋" w:eastAsia="仿宋"/>
          <w:bCs/>
          <w:color w:val="000000"/>
          <w:sz w:val="32"/>
          <w:szCs w:val="32"/>
          <w:lang w:val="en-US" w:eastAsia="zh-CN"/>
        </w:rPr>
        <w:t>9</w:t>
      </w:r>
      <w:r>
        <w:rPr>
          <w:rFonts w:hint="eastAsia" w:ascii="仿宋" w:hAnsi="仿宋" w:eastAsia="仿宋"/>
          <w:bCs/>
          <w:color w:val="000000"/>
          <w:sz w:val="32"/>
          <w:szCs w:val="32"/>
          <w:lang w:val="zh-CN" w:eastAsia="zh-CN"/>
        </w:rPr>
        <w:t>.开展检察机关的理论研究工作。</w:t>
      </w:r>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outlineLvl w:val="9"/>
        <w:rPr>
          <w:rFonts w:hint="eastAsia" w:ascii="仿宋" w:hAnsi="仿宋" w:eastAsia="仿宋"/>
          <w:bCs/>
          <w:color w:val="000000"/>
          <w:sz w:val="32"/>
          <w:szCs w:val="32"/>
          <w:lang w:val="zh-CN" w:eastAsia="zh-CN"/>
        </w:rPr>
      </w:pPr>
      <w:r>
        <w:rPr>
          <w:rFonts w:hint="eastAsia" w:ascii="仿宋" w:hAnsi="仿宋" w:eastAsia="仿宋"/>
          <w:bCs/>
          <w:color w:val="000000"/>
          <w:sz w:val="32"/>
          <w:szCs w:val="32"/>
          <w:lang w:val="en-US" w:eastAsia="zh-CN"/>
        </w:rPr>
        <w:t>10</w:t>
      </w:r>
      <w:r>
        <w:rPr>
          <w:rFonts w:hint="eastAsia" w:ascii="仿宋" w:hAnsi="仿宋" w:eastAsia="仿宋"/>
          <w:bCs/>
          <w:color w:val="000000"/>
          <w:sz w:val="32"/>
          <w:szCs w:val="32"/>
          <w:lang w:val="zh-CN" w:eastAsia="zh-CN"/>
        </w:rPr>
        <w:t>.负责壤塘县人民检察院队伍建设和思想政治工作。依法管理检察官及其他检察人员的工作，协同地方主管部门管理人民检察院的机构设置及人员编制，制定相关人员管理办法，组织开展壤塘县人民检察院教育培训工作。</w:t>
      </w:r>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outlineLvl w:val="9"/>
        <w:rPr>
          <w:rFonts w:hint="eastAsia" w:ascii="仿宋" w:hAnsi="仿宋" w:eastAsia="仿宋"/>
          <w:bCs/>
          <w:color w:val="000000"/>
          <w:sz w:val="32"/>
          <w:szCs w:val="32"/>
          <w:lang w:val="zh-CN" w:eastAsia="zh-CN"/>
        </w:rPr>
      </w:pPr>
      <w:r>
        <w:rPr>
          <w:rFonts w:hint="eastAsia" w:ascii="仿宋" w:hAnsi="仿宋" w:eastAsia="仿宋"/>
          <w:bCs/>
          <w:color w:val="000000"/>
          <w:sz w:val="32"/>
          <w:szCs w:val="32"/>
          <w:lang w:val="zh-CN" w:eastAsia="zh-CN"/>
        </w:rPr>
        <w:t>1</w:t>
      </w:r>
      <w:r>
        <w:rPr>
          <w:rFonts w:hint="eastAsia" w:ascii="仿宋" w:hAnsi="仿宋" w:eastAsia="仿宋"/>
          <w:bCs/>
          <w:color w:val="000000"/>
          <w:sz w:val="32"/>
          <w:szCs w:val="32"/>
          <w:lang w:val="en-US" w:eastAsia="zh-CN"/>
        </w:rPr>
        <w:t>1</w:t>
      </w:r>
      <w:r>
        <w:rPr>
          <w:rFonts w:hint="eastAsia" w:ascii="仿宋" w:hAnsi="仿宋" w:eastAsia="仿宋"/>
          <w:bCs/>
          <w:color w:val="000000"/>
          <w:sz w:val="32"/>
          <w:szCs w:val="32"/>
          <w:lang w:val="zh-CN" w:eastAsia="zh-CN"/>
        </w:rPr>
        <w:t>.协同地方党委主管部门管理和考核除检察长和其他领导班子成员以外的检察机关工作人员。</w:t>
      </w:r>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outlineLvl w:val="9"/>
        <w:rPr>
          <w:rFonts w:hint="eastAsia" w:ascii="仿宋" w:hAnsi="仿宋" w:eastAsia="仿宋"/>
          <w:bCs/>
          <w:color w:val="000000"/>
          <w:sz w:val="32"/>
          <w:szCs w:val="32"/>
          <w:lang w:val="zh-CN" w:eastAsia="zh-CN"/>
        </w:rPr>
      </w:pPr>
      <w:r>
        <w:rPr>
          <w:rFonts w:hint="eastAsia" w:ascii="仿宋" w:hAnsi="仿宋" w:eastAsia="仿宋"/>
          <w:bCs/>
          <w:color w:val="000000"/>
          <w:sz w:val="32"/>
          <w:szCs w:val="32"/>
          <w:lang w:val="zh-CN" w:eastAsia="zh-CN"/>
        </w:rPr>
        <w:t>1</w:t>
      </w:r>
      <w:r>
        <w:rPr>
          <w:rFonts w:hint="eastAsia" w:ascii="仿宋" w:hAnsi="仿宋" w:eastAsia="仿宋"/>
          <w:bCs/>
          <w:color w:val="000000"/>
          <w:sz w:val="32"/>
          <w:szCs w:val="32"/>
          <w:lang w:val="en-US" w:eastAsia="zh-CN"/>
        </w:rPr>
        <w:t>2</w:t>
      </w:r>
      <w:r>
        <w:rPr>
          <w:rFonts w:hint="eastAsia" w:ascii="仿宋" w:hAnsi="仿宋" w:eastAsia="仿宋"/>
          <w:bCs/>
          <w:color w:val="000000"/>
          <w:sz w:val="32"/>
          <w:szCs w:val="32"/>
          <w:lang w:val="zh-CN" w:eastAsia="zh-CN"/>
        </w:rPr>
        <w:t>.开展壤塘县人民检察院的检务督察工作。</w:t>
      </w:r>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outlineLvl w:val="9"/>
        <w:rPr>
          <w:rFonts w:hint="eastAsia" w:ascii="仿宋" w:hAnsi="仿宋" w:eastAsia="仿宋"/>
          <w:bCs/>
          <w:color w:val="000000"/>
          <w:sz w:val="32"/>
          <w:szCs w:val="32"/>
          <w:lang w:val="zh-CN" w:eastAsia="zh-CN"/>
        </w:rPr>
      </w:pPr>
      <w:r>
        <w:rPr>
          <w:rFonts w:hint="eastAsia" w:ascii="仿宋" w:hAnsi="仿宋" w:eastAsia="仿宋"/>
          <w:bCs/>
          <w:color w:val="000000"/>
          <w:sz w:val="32"/>
          <w:szCs w:val="32"/>
          <w:lang w:val="zh-CN" w:eastAsia="zh-CN"/>
        </w:rPr>
        <w:t>1</w:t>
      </w:r>
      <w:r>
        <w:rPr>
          <w:rFonts w:hint="eastAsia" w:ascii="仿宋" w:hAnsi="仿宋" w:eastAsia="仿宋"/>
          <w:bCs/>
          <w:color w:val="000000"/>
          <w:sz w:val="32"/>
          <w:szCs w:val="32"/>
          <w:lang w:val="en-US" w:eastAsia="zh-CN"/>
        </w:rPr>
        <w:t>3</w:t>
      </w:r>
      <w:r>
        <w:rPr>
          <w:rFonts w:hint="eastAsia" w:ascii="仿宋" w:hAnsi="仿宋" w:eastAsia="仿宋"/>
          <w:bCs/>
          <w:color w:val="000000"/>
          <w:sz w:val="32"/>
          <w:szCs w:val="32"/>
          <w:lang w:val="zh-CN" w:eastAsia="zh-CN"/>
        </w:rPr>
        <w:t>.开展壤塘县人民检察院的财务装备、检察技术信息工作。</w:t>
      </w:r>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outlineLvl w:val="9"/>
        <w:rPr>
          <w:rFonts w:hint="eastAsia" w:ascii="仿宋" w:hAnsi="仿宋" w:eastAsia="仿宋"/>
          <w:bCs/>
          <w:color w:val="000000"/>
          <w:sz w:val="32"/>
          <w:szCs w:val="32"/>
          <w:lang w:val="zh-CN" w:eastAsia="zh-CN"/>
        </w:rPr>
      </w:pPr>
      <w:r>
        <w:rPr>
          <w:rFonts w:hint="eastAsia" w:ascii="仿宋" w:hAnsi="仿宋" w:eastAsia="仿宋"/>
          <w:bCs/>
          <w:color w:val="000000"/>
          <w:sz w:val="32"/>
          <w:szCs w:val="32"/>
          <w:lang w:val="zh-CN" w:eastAsia="zh-CN"/>
        </w:rPr>
        <w:t>1</w:t>
      </w:r>
      <w:r>
        <w:rPr>
          <w:rFonts w:hint="eastAsia" w:ascii="仿宋" w:hAnsi="仿宋" w:eastAsia="仿宋"/>
          <w:bCs/>
          <w:color w:val="000000"/>
          <w:sz w:val="32"/>
          <w:szCs w:val="32"/>
          <w:lang w:val="en-US" w:eastAsia="zh-CN"/>
        </w:rPr>
        <w:t>4</w:t>
      </w:r>
      <w:r>
        <w:rPr>
          <w:rFonts w:hint="eastAsia" w:ascii="仿宋" w:hAnsi="仿宋" w:eastAsia="仿宋"/>
          <w:bCs/>
          <w:color w:val="000000"/>
          <w:sz w:val="32"/>
          <w:szCs w:val="32"/>
          <w:lang w:val="zh-CN" w:eastAsia="zh-CN"/>
        </w:rPr>
        <w:t>.负责其他应由壤塘县人民检察院承办的事项。</w:t>
      </w:r>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outlineLvl w:val="2"/>
        <w:rPr>
          <w:rFonts w:hint="eastAsia" w:ascii="仿宋" w:hAnsi="仿宋" w:eastAsia="仿宋"/>
          <w:bCs/>
          <w:color w:val="000000"/>
          <w:sz w:val="32"/>
          <w:szCs w:val="32"/>
        </w:rPr>
      </w:pPr>
      <w:bookmarkStart w:id="27" w:name="_Toc83"/>
      <w:r>
        <w:rPr>
          <w:rFonts w:hint="eastAsia" w:ascii="仿宋" w:hAnsi="仿宋" w:eastAsia="仿宋"/>
          <w:bCs/>
          <w:color w:val="000000"/>
          <w:sz w:val="32"/>
          <w:szCs w:val="32"/>
        </w:rPr>
        <w:t>（二）</w:t>
      </w:r>
      <w:r>
        <w:rPr>
          <w:rFonts w:ascii="仿宋" w:hAnsi="仿宋" w:eastAsia="仿宋"/>
          <w:bCs/>
          <w:color w:val="000000"/>
          <w:sz w:val="32"/>
          <w:szCs w:val="32"/>
        </w:rPr>
        <w:t>202</w:t>
      </w:r>
      <w:r>
        <w:rPr>
          <w:rFonts w:hint="eastAsia" w:ascii="仿宋" w:hAnsi="仿宋" w:eastAsia="仿宋"/>
          <w:bCs/>
          <w:color w:val="000000"/>
          <w:sz w:val="32"/>
          <w:szCs w:val="32"/>
        </w:rPr>
        <w:t>1年重点工作完成情况</w:t>
      </w:r>
      <w:bookmarkEnd w:id="24"/>
      <w:bookmarkEnd w:id="25"/>
      <w:bookmarkEnd w:id="26"/>
      <w:bookmarkEnd w:id="27"/>
      <w:bookmarkStart w:id="28" w:name="_Toc79163605"/>
      <w:bookmarkStart w:id="29" w:name="_Toc15377200"/>
      <w:bookmarkStart w:id="30" w:name="_Toc15396601"/>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43" w:firstLineChars="200"/>
        <w:textAlignment w:val="auto"/>
        <w:outlineLvl w:val="9"/>
        <w:rPr>
          <w:rFonts w:hint="default" w:ascii="Times New Roman" w:hAnsi="Times New Roman" w:eastAsia="仿宋_GB2312"/>
          <w:color w:val="auto"/>
          <w:sz w:val="32"/>
          <w:szCs w:val="32"/>
          <w:lang w:val="en-US" w:eastAsia="zh-CN"/>
        </w:rPr>
      </w:pPr>
      <w:r>
        <w:rPr>
          <w:rFonts w:hint="eastAsia" w:ascii="仿宋_GB2312" w:hAnsi="仿宋_GB2312" w:eastAsia="仿宋_GB2312" w:cs="仿宋_GB2312"/>
          <w:b/>
          <w:i w:val="0"/>
          <w:caps w:val="0"/>
          <w:color w:val="auto"/>
          <w:spacing w:val="0"/>
          <w:sz w:val="32"/>
          <w:szCs w:val="32"/>
          <w:shd w:val="clear" w:color="auto" w:fill="FFFFFF"/>
          <w:lang w:val="en-US" w:eastAsia="zh-CN"/>
        </w:rPr>
        <w:t xml:space="preserve"> 刑事检察提质增效。共受理审查逮捕案件26件39人，</w:t>
      </w:r>
      <w:r>
        <w:rPr>
          <w:rFonts w:hint="eastAsia" w:ascii="Times New Roman" w:hAnsi="Times New Roman" w:eastAsia="仿宋_GB2312"/>
          <w:color w:val="auto"/>
          <w:sz w:val="32"/>
          <w:szCs w:val="32"/>
        </w:rPr>
        <w:t>同比</w:t>
      </w:r>
      <w:r>
        <w:rPr>
          <w:rFonts w:hint="eastAsia" w:ascii="Times New Roman" w:hAnsi="Times New Roman" w:eastAsia="仿宋_GB2312"/>
          <w:color w:val="auto"/>
          <w:sz w:val="32"/>
          <w:szCs w:val="32"/>
          <w:lang w:val="en-US" w:eastAsia="zh-CN"/>
        </w:rPr>
        <w:t>人数</w:t>
      </w:r>
      <w:r>
        <w:rPr>
          <w:rFonts w:hint="eastAsia" w:ascii="Times New Roman" w:hAnsi="Times New Roman" w:eastAsia="仿宋_GB2312"/>
          <w:color w:val="auto"/>
          <w:sz w:val="32"/>
          <w:szCs w:val="32"/>
        </w:rPr>
        <w:t>上升</w:t>
      </w:r>
      <w:r>
        <w:rPr>
          <w:rFonts w:hint="eastAsia" w:ascii="Times New Roman" w:hAnsi="Times New Roman" w:eastAsia="仿宋_GB2312"/>
          <w:color w:val="auto"/>
          <w:sz w:val="32"/>
          <w:szCs w:val="32"/>
          <w:lang w:val="en-US" w:eastAsia="zh-CN"/>
        </w:rPr>
        <w:t>50%</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批准和决定逮捕24件36人，同比人数上升80%，不批准逮捕6件6人，同比持平。办理起诉案件43件62人，同比人数上升21.6%，提起公诉39件60人，同比人数上升71.4%。</w:t>
      </w:r>
      <w:r>
        <w:rPr>
          <w:rFonts w:hint="eastAsia" w:ascii="Times New Roman" w:hAnsi="Times New Roman" w:eastAsia="仿宋_GB2312"/>
          <w:color w:val="auto"/>
          <w:sz w:val="32"/>
          <w:szCs w:val="32"/>
        </w:rPr>
        <w:t>办理</w:t>
      </w:r>
      <w:r>
        <w:rPr>
          <w:rFonts w:hint="eastAsia" w:ascii="Times New Roman" w:hAnsi="Times New Roman" w:eastAsia="仿宋_GB2312"/>
          <w:color w:val="auto"/>
          <w:sz w:val="32"/>
          <w:szCs w:val="32"/>
          <w:lang w:val="en-US" w:eastAsia="zh-CN"/>
        </w:rPr>
        <w:t>立案监督</w:t>
      </w:r>
      <w:r>
        <w:rPr>
          <w:rFonts w:hint="eastAsia" w:ascii="Times New Roman" w:hAnsi="Times New Roman" w:eastAsia="仿宋_GB2312"/>
          <w:color w:val="auto"/>
          <w:sz w:val="32"/>
          <w:szCs w:val="32"/>
        </w:rPr>
        <w:t>案件</w:t>
      </w: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rPr>
        <w:t>件</w:t>
      </w: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rPr>
        <w:t>人</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同比持平</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发出纠正违法通知书</w:t>
      </w:r>
      <w:r>
        <w:rPr>
          <w:rFonts w:hint="eastAsia" w:ascii="Times New Roman" w:hAnsi="Times New Roman" w:eastAsia="仿宋_GB2312"/>
          <w:color w:val="auto"/>
          <w:sz w:val="32"/>
          <w:szCs w:val="32"/>
          <w:lang w:val="en-US" w:eastAsia="zh-CN"/>
        </w:rPr>
        <w:t>5</w:t>
      </w:r>
      <w:r>
        <w:rPr>
          <w:rFonts w:hint="eastAsia" w:ascii="Times New Roman" w:hAnsi="Times New Roman" w:eastAsia="仿宋_GB2312"/>
          <w:color w:val="auto"/>
          <w:sz w:val="32"/>
          <w:szCs w:val="32"/>
        </w:rPr>
        <w:t>份</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同比上升150%</w:t>
      </w:r>
      <w:r>
        <w:rPr>
          <w:rFonts w:hint="eastAsia" w:ascii="Times New Roman" w:hAnsi="Times New Roman" w:eastAsia="仿宋_GB2312"/>
          <w:color w:val="auto"/>
          <w:sz w:val="32"/>
          <w:szCs w:val="32"/>
        </w:rPr>
        <w:t>。纠正漏罪1件2人，认罪认罚从宽适用率为</w:t>
      </w:r>
      <w:r>
        <w:rPr>
          <w:rFonts w:hint="eastAsia" w:ascii="Times New Roman" w:hAnsi="Times New Roman" w:eastAsia="仿宋_GB2312"/>
          <w:color w:val="auto"/>
          <w:sz w:val="32"/>
          <w:szCs w:val="32"/>
          <w:lang w:val="en-US" w:eastAsia="zh-CN"/>
        </w:rPr>
        <w:t>93.9</w:t>
      </w:r>
      <w:r>
        <w:rPr>
          <w:rFonts w:hint="eastAsia" w:ascii="Times New Roman" w:hAnsi="Times New Roman" w:eastAsia="仿宋_GB2312"/>
          <w:color w:val="auto"/>
          <w:sz w:val="32"/>
          <w:szCs w:val="32"/>
        </w:rPr>
        <w:t>%，提出确定刑量刑建议</w:t>
      </w:r>
      <w:r>
        <w:rPr>
          <w:rFonts w:hint="eastAsia" w:ascii="Times New Roman" w:hAnsi="Times New Roman" w:eastAsia="仿宋_GB2312"/>
          <w:color w:val="auto"/>
          <w:sz w:val="32"/>
          <w:szCs w:val="32"/>
          <w:lang w:val="en-US" w:eastAsia="zh-CN"/>
        </w:rPr>
        <w:t>比例为88.7</w:t>
      </w:r>
      <w:r>
        <w:rPr>
          <w:rFonts w:hint="eastAsia" w:ascii="Times New Roman" w:hAnsi="Times New Roman" w:eastAsia="仿宋_GB2312"/>
          <w:color w:val="auto"/>
          <w:sz w:val="32"/>
          <w:szCs w:val="32"/>
        </w:rPr>
        <w:t>%，法院采纳率为100%，案件比为1:</w:t>
      </w:r>
      <w:r>
        <w:rPr>
          <w:rFonts w:hint="eastAsia" w:ascii="Times New Roman" w:hAnsi="Times New Roman" w:eastAsia="仿宋_GB2312"/>
          <w:color w:val="auto"/>
          <w:sz w:val="32"/>
          <w:szCs w:val="32"/>
          <w:lang w:val="en-US" w:eastAsia="zh-CN"/>
        </w:rPr>
        <w:t>1.17</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办</w:t>
      </w:r>
      <w:r>
        <w:rPr>
          <w:rFonts w:hint="eastAsia" w:ascii="Times New Roman" w:hAnsi="Times New Roman" w:eastAsia="仿宋_GB2312" w:cs="Times New Roman"/>
          <w:color w:val="auto"/>
          <w:sz w:val="32"/>
          <w:szCs w:val="32"/>
          <w:lang w:val="en-US" w:eastAsia="zh-CN"/>
        </w:rPr>
        <w:t>理刑罚执行监督案件 3件，同比上升50%。</w:t>
      </w:r>
      <w:r>
        <w:rPr>
          <w:rFonts w:hint="default" w:ascii="Times New Roman" w:hAnsi="Times New Roman" w:eastAsia="仿宋_GB2312" w:cs="Times New Roman"/>
          <w:color w:val="auto"/>
          <w:sz w:val="32"/>
          <w:szCs w:val="32"/>
          <w:lang w:val="en-US" w:eastAsia="zh-CN"/>
        </w:rPr>
        <w:t>办理重大案件侦</w:t>
      </w:r>
      <w:r>
        <w:rPr>
          <w:rFonts w:hint="default" w:ascii="Times New Roman" w:hAnsi="Times New Roman" w:eastAsia="仿宋_GB2312"/>
          <w:color w:val="auto"/>
          <w:sz w:val="32"/>
          <w:szCs w:val="32"/>
          <w:lang w:val="en-US" w:eastAsia="zh-CN"/>
        </w:rPr>
        <w:t>查终结前讯问合法性审查案件2件2人。</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kern w:val="0"/>
          <w:sz w:val="32"/>
          <w:szCs w:val="32"/>
          <w:lang w:val="en-US" w:eastAsia="zh-CN" w:bidi="ar-SA"/>
        </w:rPr>
      </w:pPr>
      <w:r>
        <w:rPr>
          <w:rFonts w:hint="eastAsia" w:ascii="仿宋_GB2312" w:hAnsi="仿宋_GB2312" w:eastAsia="仿宋_GB2312" w:cs="仿宋_GB2312"/>
          <w:b/>
          <w:bCs/>
          <w:color w:val="auto"/>
          <w:sz w:val="32"/>
          <w:szCs w:val="32"/>
          <w:lang w:val="en-US" w:eastAsia="zh-CN"/>
        </w:rPr>
        <w:t>民事检察稳中有进</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kern w:val="0"/>
          <w:sz w:val="32"/>
          <w:szCs w:val="32"/>
          <w:lang w:val="en-US" w:eastAsia="zh-CN" w:bidi="ar-SA"/>
        </w:rPr>
        <w:t>以民法典的颁布为契机，</w:t>
      </w:r>
      <w:r>
        <w:rPr>
          <w:rFonts w:hint="eastAsia" w:ascii="Times New Roman" w:hAnsi="Times New Roman" w:eastAsia="仿宋_GB2312" w:cs="Times New Roman"/>
          <w:color w:val="auto"/>
          <w:kern w:val="0"/>
          <w:sz w:val="32"/>
          <w:szCs w:val="32"/>
          <w:lang w:val="en-US" w:eastAsia="zh-CN" w:bidi="ar-SA"/>
        </w:rPr>
        <w:t>努力</w:t>
      </w:r>
      <w:r>
        <w:rPr>
          <w:rFonts w:hint="default" w:ascii="Times New Roman" w:hAnsi="Times New Roman" w:eastAsia="仿宋_GB2312" w:cs="Times New Roman"/>
          <w:color w:val="auto"/>
          <w:kern w:val="0"/>
          <w:sz w:val="32"/>
          <w:szCs w:val="32"/>
          <w:lang w:val="en-US" w:eastAsia="zh-CN" w:bidi="ar-SA"/>
        </w:rPr>
        <w:t>构建全方位、多维度、深层次的民事检察工作格局。办理民事审判程序中违法行为监督</w:t>
      </w:r>
      <w:r>
        <w:rPr>
          <w:rFonts w:hint="eastAsia" w:ascii="Times New Roman" w:hAnsi="Times New Roman" w:eastAsia="仿宋_GB2312" w:cs="Times New Roman"/>
          <w:color w:val="auto"/>
          <w:kern w:val="0"/>
          <w:sz w:val="32"/>
          <w:szCs w:val="32"/>
          <w:lang w:val="en-US" w:eastAsia="zh-CN" w:bidi="ar-SA"/>
        </w:rPr>
        <w:t>件3</w:t>
      </w:r>
      <w:r>
        <w:rPr>
          <w:rFonts w:hint="default" w:ascii="Times New Roman" w:hAnsi="Times New Roman" w:eastAsia="仿宋_GB2312" w:cs="Times New Roman"/>
          <w:color w:val="auto"/>
          <w:kern w:val="0"/>
          <w:sz w:val="32"/>
          <w:szCs w:val="32"/>
          <w:lang w:val="en-US" w:eastAsia="zh-CN" w:bidi="ar-SA"/>
        </w:rPr>
        <w:t>件，</w:t>
      </w:r>
      <w:r>
        <w:rPr>
          <w:rFonts w:hint="eastAsia" w:ascii="Times New Roman" w:hAnsi="Times New Roman" w:eastAsia="仿宋_GB2312" w:cs="Times New Roman"/>
          <w:color w:val="auto"/>
          <w:kern w:val="0"/>
          <w:sz w:val="32"/>
          <w:szCs w:val="32"/>
          <w:lang w:val="en-US" w:eastAsia="zh-CN" w:bidi="ar-SA"/>
        </w:rPr>
        <w:t>同比增长200%；办理</w:t>
      </w:r>
      <w:r>
        <w:rPr>
          <w:rFonts w:hint="default" w:ascii="Times New Roman" w:hAnsi="Times New Roman" w:eastAsia="仿宋_GB2312" w:cs="Times New Roman"/>
          <w:color w:val="auto"/>
          <w:kern w:val="0"/>
          <w:sz w:val="32"/>
          <w:szCs w:val="32"/>
          <w:lang w:val="en-US" w:eastAsia="zh-CN" w:bidi="ar-SA"/>
        </w:rPr>
        <w:t>民事执行活动监督</w:t>
      </w:r>
      <w:r>
        <w:rPr>
          <w:rFonts w:hint="eastAsia" w:ascii="Times New Roman" w:hAnsi="Times New Roman" w:eastAsia="仿宋_GB2312" w:cs="Times New Roman"/>
          <w:color w:val="auto"/>
          <w:kern w:val="0"/>
          <w:sz w:val="32"/>
          <w:szCs w:val="32"/>
          <w:lang w:val="en-US" w:eastAsia="zh-CN" w:bidi="ar-SA"/>
        </w:rPr>
        <w:t>案3</w:t>
      </w:r>
      <w:r>
        <w:rPr>
          <w:rFonts w:hint="default" w:ascii="Times New Roman" w:hAnsi="Times New Roman" w:eastAsia="仿宋_GB2312" w:cs="Times New Roman"/>
          <w:color w:val="auto"/>
          <w:kern w:val="0"/>
          <w:sz w:val="32"/>
          <w:szCs w:val="32"/>
          <w:lang w:val="en-US" w:eastAsia="zh-CN" w:bidi="ar-SA"/>
        </w:rPr>
        <w:t>件</w:t>
      </w:r>
      <w:r>
        <w:rPr>
          <w:rFonts w:hint="eastAsia" w:ascii="Times New Roman" w:hAnsi="Times New Roman" w:eastAsia="仿宋_GB2312" w:cs="Times New Roman"/>
          <w:color w:val="auto"/>
          <w:kern w:val="0"/>
          <w:sz w:val="32"/>
          <w:szCs w:val="32"/>
          <w:lang w:val="en-US" w:eastAsia="zh-CN" w:bidi="ar-SA"/>
        </w:rPr>
        <w:t>，同比增长50%。</w:t>
      </w:r>
      <w:r>
        <w:rPr>
          <w:rFonts w:hint="default" w:ascii="Times New Roman" w:hAnsi="Times New Roman" w:eastAsia="仿宋_GB2312" w:cs="Times New Roman"/>
          <w:color w:val="auto"/>
          <w:kern w:val="0"/>
          <w:sz w:val="32"/>
          <w:szCs w:val="32"/>
          <w:lang w:val="en-US" w:eastAsia="zh-CN" w:bidi="ar-SA"/>
        </w:rPr>
        <w:t>加大</w:t>
      </w:r>
      <w:r>
        <w:rPr>
          <w:rFonts w:hint="eastAsia" w:ascii="Times New Roman" w:hAnsi="Times New Roman" w:eastAsia="仿宋_GB2312" w:cs="Times New Roman"/>
          <w:color w:val="auto"/>
          <w:kern w:val="0"/>
          <w:sz w:val="32"/>
          <w:szCs w:val="32"/>
          <w:lang w:val="en-US" w:eastAsia="zh-CN" w:bidi="ar-SA"/>
        </w:rPr>
        <w:t>对</w:t>
      </w:r>
      <w:r>
        <w:rPr>
          <w:rFonts w:hint="default" w:ascii="Times New Roman" w:hAnsi="Times New Roman" w:eastAsia="仿宋_GB2312" w:cs="Times New Roman"/>
          <w:color w:val="auto"/>
          <w:kern w:val="0"/>
          <w:sz w:val="32"/>
          <w:szCs w:val="32"/>
          <w:lang w:val="en-US" w:eastAsia="zh-CN" w:bidi="ar-SA"/>
        </w:rPr>
        <w:t>农民工、妇女儿童等弱势特殊群体</w:t>
      </w:r>
      <w:r>
        <w:rPr>
          <w:rFonts w:hint="eastAsia" w:ascii="Times New Roman" w:hAnsi="Times New Roman" w:eastAsia="仿宋_GB2312" w:cs="Times New Roman"/>
          <w:color w:val="auto"/>
          <w:kern w:val="0"/>
          <w:sz w:val="32"/>
          <w:szCs w:val="32"/>
          <w:lang w:val="en-US" w:eastAsia="zh-CN" w:bidi="ar-SA"/>
        </w:rPr>
        <w:t>合法权益的保护</w:t>
      </w:r>
      <w:r>
        <w:rPr>
          <w:rFonts w:hint="default" w:ascii="Times New Roman" w:hAnsi="Times New Roman" w:eastAsia="仿宋_GB2312" w:cs="Times New Roman"/>
          <w:color w:val="auto"/>
          <w:kern w:val="0"/>
          <w:sz w:val="32"/>
          <w:szCs w:val="32"/>
          <w:lang w:val="en-US" w:eastAsia="zh-CN" w:bidi="ar-SA"/>
        </w:rPr>
        <w:t>，办理民事支持起诉</w:t>
      </w:r>
      <w:r>
        <w:rPr>
          <w:rFonts w:hint="eastAsia" w:ascii="Times New Roman" w:hAnsi="Times New Roman" w:eastAsia="仿宋_GB2312" w:cs="Times New Roman"/>
          <w:color w:val="auto"/>
          <w:kern w:val="0"/>
          <w:sz w:val="32"/>
          <w:szCs w:val="32"/>
          <w:lang w:val="en-US" w:eastAsia="zh-CN" w:bidi="ar-SA"/>
        </w:rPr>
        <w:t>9</w:t>
      </w:r>
      <w:r>
        <w:rPr>
          <w:rFonts w:hint="default" w:ascii="Times New Roman" w:hAnsi="Times New Roman" w:eastAsia="仿宋_GB2312" w:cs="Times New Roman"/>
          <w:color w:val="auto"/>
          <w:kern w:val="0"/>
          <w:sz w:val="32"/>
          <w:szCs w:val="32"/>
          <w:lang w:val="en-US" w:eastAsia="zh-CN" w:bidi="ar-SA"/>
        </w:rPr>
        <w:t>件，</w:t>
      </w:r>
      <w:r>
        <w:rPr>
          <w:rFonts w:hint="eastAsia" w:ascii="Times New Roman" w:hAnsi="Times New Roman" w:eastAsia="仿宋_GB2312" w:cs="Times New Roman"/>
          <w:color w:val="auto"/>
          <w:kern w:val="0"/>
          <w:sz w:val="32"/>
          <w:szCs w:val="32"/>
          <w:lang w:val="en-US" w:eastAsia="zh-CN" w:bidi="ar-SA"/>
        </w:rPr>
        <w:t>同比增长800%，其中，办结涉及农民工案件8</w:t>
      </w:r>
      <w:r>
        <w:rPr>
          <w:rFonts w:hint="default" w:ascii="Times New Roman" w:hAnsi="Times New Roman" w:eastAsia="仿宋_GB2312" w:cs="Times New Roman"/>
          <w:color w:val="auto"/>
          <w:kern w:val="0"/>
          <w:sz w:val="32"/>
          <w:szCs w:val="32"/>
          <w:lang w:val="en-US" w:eastAsia="zh-CN" w:bidi="ar-SA"/>
        </w:rPr>
        <w:t>件</w:t>
      </w:r>
      <w:r>
        <w:rPr>
          <w:rFonts w:hint="eastAsia" w:ascii="Times New Roman" w:hAnsi="Times New Roman" w:eastAsia="仿宋_GB2312" w:cs="Times New Roman"/>
          <w:color w:val="auto"/>
          <w:kern w:val="0"/>
          <w:sz w:val="32"/>
          <w:szCs w:val="32"/>
          <w:lang w:val="en-US" w:eastAsia="zh-CN" w:bidi="ar-SA"/>
        </w:rPr>
        <w:t>（含诉前和解）</w:t>
      </w:r>
      <w:r>
        <w:rPr>
          <w:rFonts w:hint="default" w:ascii="Times New Roman" w:hAnsi="Times New Roman" w:eastAsia="仿宋_GB2312" w:cs="Times New Roman"/>
          <w:color w:val="auto"/>
          <w:kern w:val="0"/>
          <w:sz w:val="32"/>
          <w:szCs w:val="32"/>
          <w:lang w:val="en-US" w:eastAsia="zh-CN" w:bidi="ar-SA"/>
        </w:rPr>
        <w:t>，</w:t>
      </w:r>
      <w:r>
        <w:rPr>
          <w:rFonts w:hint="eastAsia" w:ascii="Times New Roman" w:hAnsi="Times New Roman" w:eastAsia="仿宋_GB2312" w:cs="Times New Roman"/>
          <w:color w:val="auto"/>
          <w:kern w:val="0"/>
          <w:sz w:val="32"/>
          <w:szCs w:val="32"/>
          <w:lang w:val="en-US" w:eastAsia="zh-CN" w:bidi="ar-SA"/>
        </w:rPr>
        <w:t>帮助农民工讨回工资9.8992万元；办理子女抚养纠纷支持起诉案1件。</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kern w:val="0"/>
          <w:sz w:val="32"/>
          <w:szCs w:val="32"/>
          <w:lang w:val="en-US" w:eastAsia="zh-CN" w:bidi="ar-SA"/>
        </w:rPr>
      </w:pPr>
      <w:r>
        <w:rPr>
          <w:rFonts w:hint="eastAsia" w:ascii="仿宋_GB2312" w:hAnsi="仿宋_GB2312" w:eastAsia="仿宋_GB2312" w:cs="仿宋_GB2312"/>
          <w:b/>
          <w:bCs/>
          <w:color w:val="auto"/>
          <w:sz w:val="32"/>
          <w:szCs w:val="32"/>
          <w:lang w:val="en-US" w:eastAsia="zh-CN"/>
        </w:rPr>
        <w:t>行政检察取得突破。</w:t>
      </w:r>
      <w:r>
        <w:rPr>
          <w:rFonts w:hint="default" w:ascii="Times New Roman" w:hAnsi="Times New Roman" w:eastAsia="仿宋_GB2312" w:cs="Times New Roman"/>
          <w:color w:val="auto"/>
          <w:kern w:val="0"/>
          <w:sz w:val="32"/>
          <w:szCs w:val="32"/>
          <w:lang w:val="en-US" w:eastAsia="zh-CN" w:bidi="ar-SA"/>
        </w:rPr>
        <w:t>办理行政诉讼监督案件</w:t>
      </w:r>
      <w:r>
        <w:rPr>
          <w:rFonts w:hint="eastAsia" w:ascii="Times New Roman" w:hAnsi="Times New Roman" w:eastAsia="仿宋_GB2312" w:cs="Times New Roman"/>
          <w:color w:val="auto"/>
          <w:kern w:val="0"/>
          <w:sz w:val="32"/>
          <w:szCs w:val="32"/>
          <w:lang w:val="en-US" w:eastAsia="zh-CN" w:bidi="ar-SA"/>
        </w:rPr>
        <w:t>1</w:t>
      </w:r>
      <w:r>
        <w:rPr>
          <w:rFonts w:hint="default" w:ascii="Times New Roman" w:hAnsi="Times New Roman" w:eastAsia="仿宋_GB2312" w:cs="Times New Roman"/>
          <w:color w:val="auto"/>
          <w:kern w:val="0"/>
          <w:sz w:val="32"/>
          <w:szCs w:val="32"/>
          <w:lang w:val="en-US" w:eastAsia="zh-CN" w:bidi="ar-SA"/>
        </w:rPr>
        <w:t>件，发出检察建议书</w:t>
      </w:r>
      <w:r>
        <w:rPr>
          <w:rFonts w:hint="eastAsia" w:ascii="Times New Roman" w:hAnsi="Times New Roman" w:eastAsia="仿宋_GB2312" w:cs="Times New Roman"/>
          <w:color w:val="auto"/>
          <w:kern w:val="0"/>
          <w:sz w:val="32"/>
          <w:szCs w:val="32"/>
          <w:lang w:val="en-US" w:eastAsia="zh-CN" w:bidi="ar-SA"/>
        </w:rPr>
        <w:t>1</w:t>
      </w:r>
      <w:r>
        <w:rPr>
          <w:rFonts w:hint="default" w:ascii="Times New Roman" w:hAnsi="Times New Roman" w:eastAsia="仿宋_GB2312" w:cs="Times New Roman"/>
          <w:color w:val="auto"/>
          <w:kern w:val="0"/>
          <w:sz w:val="32"/>
          <w:szCs w:val="32"/>
          <w:lang w:val="en-US" w:eastAsia="zh-CN" w:bidi="ar-SA"/>
        </w:rPr>
        <w:t>份，实现行政</w:t>
      </w:r>
      <w:r>
        <w:rPr>
          <w:rFonts w:hint="eastAsia" w:ascii="Times New Roman" w:hAnsi="Times New Roman" w:eastAsia="仿宋_GB2312" w:cs="Times New Roman"/>
          <w:color w:val="auto"/>
          <w:kern w:val="0"/>
          <w:sz w:val="32"/>
          <w:szCs w:val="32"/>
          <w:lang w:val="en-US" w:eastAsia="zh-CN" w:bidi="ar-SA"/>
        </w:rPr>
        <w:t>检察</w:t>
      </w:r>
      <w:r>
        <w:rPr>
          <w:rFonts w:hint="default" w:ascii="Times New Roman" w:hAnsi="Times New Roman" w:eastAsia="仿宋_GB2312" w:cs="Times New Roman"/>
          <w:color w:val="auto"/>
          <w:kern w:val="0"/>
          <w:sz w:val="32"/>
          <w:szCs w:val="32"/>
          <w:lang w:val="en-US" w:eastAsia="zh-CN" w:bidi="ar-SA"/>
        </w:rPr>
        <w:t>监督“零突破”。积极开展行政非诉执行监督工作</w:t>
      </w:r>
      <w:r>
        <w:rPr>
          <w:rFonts w:hint="eastAsia" w:ascii="Times New Roman" w:hAnsi="Times New Roman" w:eastAsia="仿宋_GB2312" w:cs="Times New Roman"/>
          <w:color w:val="auto"/>
          <w:kern w:val="0"/>
          <w:sz w:val="32"/>
          <w:szCs w:val="32"/>
          <w:lang w:val="en-US" w:eastAsia="zh-CN" w:bidi="ar-SA"/>
        </w:rPr>
        <w:t>，</w:t>
      </w:r>
      <w:r>
        <w:rPr>
          <w:rFonts w:hint="default" w:ascii="Times New Roman" w:hAnsi="Times New Roman" w:eastAsia="仿宋_GB2312" w:cs="Times New Roman"/>
          <w:color w:val="auto"/>
          <w:kern w:val="0"/>
          <w:sz w:val="32"/>
          <w:szCs w:val="32"/>
          <w:lang w:val="en-US" w:eastAsia="zh-CN" w:bidi="ar-SA"/>
        </w:rPr>
        <w:t>依法向相关</w:t>
      </w:r>
      <w:r>
        <w:rPr>
          <w:rFonts w:hint="eastAsia" w:ascii="Times New Roman" w:hAnsi="Times New Roman" w:eastAsia="仿宋_GB2312" w:cs="Times New Roman"/>
          <w:color w:val="auto"/>
          <w:kern w:val="0"/>
          <w:sz w:val="32"/>
          <w:szCs w:val="32"/>
          <w:lang w:val="en-US" w:eastAsia="zh-CN" w:bidi="ar-SA"/>
        </w:rPr>
        <w:t>行政机关</w:t>
      </w:r>
      <w:r>
        <w:rPr>
          <w:rFonts w:hint="default" w:ascii="Times New Roman" w:hAnsi="Times New Roman" w:eastAsia="仿宋_GB2312" w:cs="Times New Roman"/>
          <w:color w:val="auto"/>
          <w:kern w:val="0"/>
          <w:sz w:val="32"/>
          <w:szCs w:val="32"/>
          <w:lang w:val="en-US" w:eastAsia="zh-CN" w:bidi="ar-SA"/>
        </w:rPr>
        <w:t>发出检察建议1</w:t>
      </w:r>
      <w:r>
        <w:rPr>
          <w:rFonts w:hint="eastAsia" w:ascii="Times New Roman" w:hAnsi="Times New Roman" w:eastAsia="仿宋_GB2312" w:cs="Times New Roman"/>
          <w:color w:val="auto"/>
          <w:kern w:val="0"/>
          <w:sz w:val="32"/>
          <w:szCs w:val="32"/>
          <w:lang w:val="en-US" w:eastAsia="zh-CN" w:bidi="ar-SA"/>
        </w:rPr>
        <w:t>件</w:t>
      </w:r>
      <w:r>
        <w:rPr>
          <w:rFonts w:hint="default" w:ascii="Times New Roman" w:hAnsi="Times New Roman" w:eastAsia="仿宋_GB2312" w:cs="Times New Roman"/>
          <w:color w:val="auto"/>
          <w:kern w:val="0"/>
          <w:sz w:val="32"/>
          <w:szCs w:val="32"/>
          <w:lang w:val="en-US" w:eastAsia="zh-CN" w:bidi="ar-SA"/>
        </w:rPr>
        <w:t>。认真落实领导包案制度</w:t>
      </w:r>
      <w:r>
        <w:rPr>
          <w:rFonts w:hint="eastAsia" w:ascii="Times New Roman" w:hAnsi="Times New Roman" w:eastAsia="仿宋_GB2312" w:cs="Times New Roman"/>
          <w:color w:val="auto"/>
          <w:kern w:val="0"/>
          <w:sz w:val="32"/>
          <w:szCs w:val="32"/>
          <w:lang w:val="en-US" w:eastAsia="zh-CN" w:bidi="ar-SA"/>
        </w:rPr>
        <w:t>，</w:t>
      </w:r>
      <w:r>
        <w:rPr>
          <w:rFonts w:hint="default" w:ascii="Times New Roman" w:hAnsi="Times New Roman" w:eastAsia="仿宋_GB2312" w:cs="Times New Roman"/>
          <w:color w:val="auto"/>
          <w:kern w:val="0"/>
          <w:sz w:val="32"/>
          <w:szCs w:val="32"/>
          <w:lang w:val="en-US" w:eastAsia="zh-CN" w:bidi="ar-SA"/>
        </w:rPr>
        <w:t>通过促成和解办</w:t>
      </w:r>
      <w:r>
        <w:rPr>
          <w:rFonts w:hint="eastAsia" w:ascii="Times New Roman" w:hAnsi="Times New Roman" w:eastAsia="仿宋_GB2312" w:cs="Times New Roman"/>
          <w:color w:val="auto"/>
          <w:kern w:val="0"/>
          <w:sz w:val="32"/>
          <w:szCs w:val="32"/>
          <w:lang w:val="en-US" w:eastAsia="zh-CN" w:bidi="ar-SA"/>
        </w:rPr>
        <w:t>结首例</w:t>
      </w:r>
      <w:r>
        <w:rPr>
          <w:rFonts w:hint="default" w:ascii="Times New Roman" w:hAnsi="Times New Roman" w:eastAsia="仿宋_GB2312" w:cs="Times New Roman"/>
          <w:color w:val="auto"/>
          <w:kern w:val="0"/>
          <w:sz w:val="32"/>
          <w:szCs w:val="32"/>
          <w:lang w:val="en-US" w:eastAsia="zh-CN" w:bidi="ar-SA"/>
        </w:rPr>
        <w:t>行政争议实质性化解案件</w:t>
      </w:r>
      <w:r>
        <w:rPr>
          <w:rFonts w:hint="eastAsia" w:ascii="Times New Roman" w:hAnsi="Times New Roman" w:eastAsia="仿宋_GB2312" w:cs="Times New Roman"/>
          <w:color w:val="auto"/>
          <w:kern w:val="0"/>
          <w:sz w:val="32"/>
          <w:szCs w:val="32"/>
          <w:lang w:val="en-US" w:eastAsia="zh-CN" w:bidi="ar-SA"/>
        </w:rPr>
        <w:t>1</w:t>
      </w:r>
      <w:r>
        <w:rPr>
          <w:rFonts w:hint="default" w:ascii="Times New Roman" w:hAnsi="Times New Roman" w:eastAsia="仿宋_GB2312" w:cs="Times New Roman"/>
          <w:color w:val="auto"/>
          <w:kern w:val="0"/>
          <w:sz w:val="32"/>
          <w:szCs w:val="32"/>
          <w:lang w:val="en-US" w:eastAsia="zh-CN" w:bidi="ar-SA"/>
        </w:rPr>
        <w:t>件</w:t>
      </w:r>
      <w:r>
        <w:rPr>
          <w:rFonts w:hint="eastAsia" w:ascii="Times New Roman" w:hAnsi="Times New Roman" w:eastAsia="仿宋_GB2312" w:cs="Times New Roman"/>
          <w:color w:val="auto"/>
          <w:kern w:val="0"/>
          <w:sz w:val="32"/>
          <w:szCs w:val="32"/>
          <w:lang w:val="en-US" w:eastAsia="zh-CN" w:bidi="ar-SA"/>
        </w:rPr>
        <w:t>，</w:t>
      </w:r>
      <w:r>
        <w:rPr>
          <w:rFonts w:hint="default" w:ascii="Times New Roman" w:hAnsi="Times New Roman" w:eastAsia="仿宋_GB2312" w:cs="Times New Roman"/>
          <w:color w:val="auto"/>
          <w:kern w:val="0"/>
          <w:sz w:val="32"/>
          <w:szCs w:val="32"/>
          <w:lang w:val="en-US" w:eastAsia="zh-CN" w:bidi="ar-SA"/>
        </w:rPr>
        <w:t>实现案结事了政和。</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kern w:val="0"/>
          <w:sz w:val="32"/>
          <w:szCs w:val="32"/>
          <w:lang w:val="en-US" w:eastAsia="zh-CN" w:bidi="ar-SA"/>
        </w:rPr>
      </w:pPr>
      <w:r>
        <w:rPr>
          <w:rFonts w:hint="eastAsia" w:ascii="仿宋_GB2312" w:hAnsi="仿宋_GB2312" w:eastAsia="仿宋_GB2312" w:cs="仿宋_GB2312"/>
          <w:b/>
          <w:bCs/>
          <w:color w:val="auto"/>
          <w:sz w:val="32"/>
          <w:szCs w:val="32"/>
          <w:lang w:val="en-US" w:eastAsia="zh-CN"/>
        </w:rPr>
        <w:t>公益诉讼扎实推进</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kern w:val="0"/>
          <w:sz w:val="32"/>
          <w:szCs w:val="32"/>
          <w:lang w:val="en-US" w:eastAsia="zh-CN" w:bidi="ar-SA"/>
        </w:rPr>
        <w:t>共立案</w:t>
      </w:r>
      <w:r>
        <w:rPr>
          <w:rFonts w:hint="eastAsia" w:ascii="Times New Roman" w:hAnsi="Times New Roman" w:eastAsia="仿宋_GB2312" w:cs="Times New Roman"/>
          <w:color w:val="auto"/>
          <w:kern w:val="0"/>
          <w:sz w:val="32"/>
          <w:szCs w:val="32"/>
          <w:lang w:val="en-US" w:eastAsia="zh-CN" w:bidi="ar-SA"/>
        </w:rPr>
        <w:t>22</w:t>
      </w:r>
      <w:r>
        <w:rPr>
          <w:rFonts w:hint="default" w:ascii="Times New Roman" w:hAnsi="Times New Roman" w:eastAsia="仿宋_GB2312" w:cs="Times New Roman"/>
          <w:color w:val="auto"/>
          <w:kern w:val="0"/>
          <w:sz w:val="32"/>
          <w:szCs w:val="32"/>
          <w:lang w:val="en-US" w:eastAsia="zh-CN" w:bidi="ar-SA"/>
        </w:rPr>
        <w:t>件，其中行政公益诉讼立案</w:t>
      </w:r>
      <w:r>
        <w:rPr>
          <w:rFonts w:hint="eastAsia" w:ascii="Times New Roman" w:hAnsi="Times New Roman" w:eastAsia="仿宋_GB2312" w:cs="Times New Roman"/>
          <w:color w:val="auto"/>
          <w:kern w:val="0"/>
          <w:sz w:val="32"/>
          <w:szCs w:val="32"/>
          <w:lang w:val="en-US" w:eastAsia="zh-CN" w:bidi="ar-SA"/>
        </w:rPr>
        <w:t>15</w:t>
      </w:r>
      <w:r>
        <w:rPr>
          <w:rFonts w:hint="default" w:ascii="Times New Roman" w:hAnsi="Times New Roman" w:eastAsia="仿宋_GB2312" w:cs="Times New Roman"/>
          <w:color w:val="auto"/>
          <w:kern w:val="0"/>
          <w:sz w:val="32"/>
          <w:szCs w:val="32"/>
          <w:lang w:val="en-US" w:eastAsia="zh-CN" w:bidi="ar-SA"/>
        </w:rPr>
        <w:t>件，发出诉前检察建议</w:t>
      </w:r>
      <w:r>
        <w:rPr>
          <w:rFonts w:hint="eastAsia" w:ascii="Times New Roman" w:hAnsi="Times New Roman" w:eastAsia="仿宋_GB2312" w:cs="Times New Roman"/>
          <w:color w:val="auto"/>
          <w:kern w:val="0"/>
          <w:sz w:val="32"/>
          <w:szCs w:val="32"/>
          <w:lang w:val="en-US" w:eastAsia="zh-CN" w:bidi="ar-SA"/>
        </w:rPr>
        <w:t>12</w:t>
      </w:r>
      <w:r>
        <w:rPr>
          <w:rFonts w:hint="default" w:ascii="Times New Roman" w:hAnsi="Times New Roman" w:eastAsia="仿宋_GB2312" w:cs="Times New Roman"/>
          <w:color w:val="auto"/>
          <w:kern w:val="0"/>
          <w:sz w:val="32"/>
          <w:szCs w:val="32"/>
          <w:lang w:val="en-US" w:eastAsia="zh-CN" w:bidi="ar-SA"/>
        </w:rPr>
        <w:t>份</w:t>
      </w:r>
      <w:r>
        <w:rPr>
          <w:rFonts w:hint="eastAsia" w:ascii="Times New Roman" w:hAnsi="Times New Roman" w:eastAsia="仿宋_GB2312" w:cs="Times New Roman"/>
          <w:color w:val="auto"/>
          <w:kern w:val="0"/>
          <w:sz w:val="32"/>
          <w:szCs w:val="32"/>
          <w:lang w:val="en-US" w:eastAsia="zh-CN" w:bidi="ar-SA"/>
        </w:rPr>
        <w:t>，磋商结案3件</w:t>
      </w:r>
      <w:r>
        <w:rPr>
          <w:rFonts w:hint="default" w:ascii="Times New Roman" w:hAnsi="Times New Roman" w:eastAsia="仿宋_GB2312" w:cs="Times New Roman"/>
          <w:color w:val="auto"/>
          <w:kern w:val="0"/>
          <w:sz w:val="32"/>
          <w:szCs w:val="32"/>
          <w:lang w:val="en-US" w:eastAsia="zh-CN" w:bidi="ar-SA"/>
        </w:rPr>
        <w:t>；刑事附带民事公益诉讼立案</w:t>
      </w:r>
      <w:r>
        <w:rPr>
          <w:rFonts w:hint="eastAsia" w:ascii="Times New Roman" w:hAnsi="Times New Roman" w:eastAsia="仿宋_GB2312" w:cs="Times New Roman"/>
          <w:color w:val="auto"/>
          <w:kern w:val="0"/>
          <w:sz w:val="32"/>
          <w:szCs w:val="32"/>
          <w:lang w:val="en-US" w:eastAsia="zh-CN" w:bidi="ar-SA"/>
        </w:rPr>
        <w:t>7</w:t>
      </w:r>
      <w:r>
        <w:rPr>
          <w:rFonts w:hint="default" w:ascii="Times New Roman" w:hAnsi="Times New Roman" w:eastAsia="仿宋_GB2312" w:cs="Times New Roman"/>
          <w:color w:val="auto"/>
          <w:kern w:val="0"/>
          <w:sz w:val="32"/>
          <w:szCs w:val="32"/>
          <w:lang w:val="en-US" w:eastAsia="zh-CN" w:bidi="ar-SA"/>
        </w:rPr>
        <w:t>件，提起诉讼</w:t>
      </w:r>
      <w:r>
        <w:rPr>
          <w:rFonts w:hint="eastAsia" w:ascii="Times New Roman" w:hAnsi="Times New Roman" w:eastAsia="仿宋_GB2312" w:cs="Times New Roman"/>
          <w:color w:val="auto"/>
          <w:kern w:val="0"/>
          <w:sz w:val="32"/>
          <w:szCs w:val="32"/>
          <w:lang w:val="en-US" w:eastAsia="zh-CN" w:bidi="ar-SA"/>
        </w:rPr>
        <w:t>7</w:t>
      </w:r>
      <w:r>
        <w:rPr>
          <w:rFonts w:hint="default" w:ascii="Times New Roman" w:hAnsi="Times New Roman" w:eastAsia="仿宋_GB2312" w:cs="Times New Roman"/>
          <w:color w:val="auto"/>
          <w:kern w:val="0"/>
          <w:sz w:val="32"/>
          <w:szCs w:val="32"/>
          <w:lang w:val="en-US" w:eastAsia="zh-CN" w:bidi="ar-SA"/>
        </w:rPr>
        <w:t>件</w:t>
      </w:r>
      <w:r>
        <w:rPr>
          <w:rFonts w:hint="eastAsia" w:ascii="Times New Roman" w:hAnsi="Times New Roman" w:eastAsia="仿宋_GB2312" w:cs="Times New Roman"/>
          <w:color w:val="auto"/>
          <w:kern w:val="0"/>
          <w:sz w:val="32"/>
          <w:szCs w:val="32"/>
          <w:lang w:val="en-US" w:eastAsia="zh-CN" w:bidi="ar-SA"/>
        </w:rPr>
        <w:t>，</w:t>
      </w:r>
      <w:r>
        <w:rPr>
          <w:rFonts w:hint="default" w:ascii="Times New Roman" w:hAnsi="Times New Roman" w:eastAsia="仿宋_GB2312" w:cs="Times New Roman"/>
          <w:color w:val="auto"/>
          <w:kern w:val="0"/>
          <w:sz w:val="32"/>
          <w:szCs w:val="32"/>
          <w:lang w:val="en-US" w:eastAsia="zh-CN" w:bidi="ar-SA"/>
        </w:rPr>
        <w:t>全部诉求得到县人民法院支持。守护美丽草原公益诉讼案被检察日报转发</w:t>
      </w:r>
      <w:r>
        <w:rPr>
          <w:rFonts w:hint="eastAsia" w:ascii="Times New Roman" w:hAnsi="Times New Roman" w:eastAsia="仿宋_GB2312" w:cs="Times New Roman"/>
          <w:color w:val="auto"/>
          <w:kern w:val="0"/>
          <w:sz w:val="32"/>
          <w:szCs w:val="32"/>
          <w:lang w:val="en-US" w:eastAsia="zh-CN" w:bidi="ar-SA"/>
        </w:rPr>
        <w:t>，</w:t>
      </w:r>
      <w:r>
        <w:rPr>
          <w:rFonts w:hint="default" w:ascii="Times New Roman" w:hAnsi="Times New Roman" w:eastAsia="仿宋_GB2312" w:cs="Times New Roman"/>
          <w:color w:val="auto"/>
          <w:kern w:val="0"/>
          <w:sz w:val="32"/>
          <w:szCs w:val="32"/>
          <w:lang w:val="en-US" w:eastAsia="zh-CN" w:bidi="ar-SA"/>
        </w:rPr>
        <w:t>督促保护日斯满巴碉房行政公益诉讼案</w:t>
      </w:r>
      <w:r>
        <w:rPr>
          <w:rFonts w:hint="eastAsia" w:ascii="Times New Roman" w:hAnsi="Times New Roman" w:eastAsia="仿宋_GB2312" w:cs="Times New Roman"/>
          <w:color w:val="auto"/>
          <w:kern w:val="0"/>
          <w:sz w:val="32"/>
          <w:szCs w:val="32"/>
          <w:lang w:val="en-US" w:eastAsia="zh-CN" w:bidi="ar-SA"/>
        </w:rPr>
        <w:t>被</w:t>
      </w:r>
      <w:r>
        <w:rPr>
          <w:rFonts w:hint="default" w:ascii="Times New Roman" w:hAnsi="Times New Roman" w:eastAsia="仿宋_GB2312" w:cs="Times New Roman"/>
          <w:color w:val="auto"/>
          <w:kern w:val="0"/>
          <w:sz w:val="32"/>
          <w:szCs w:val="32"/>
          <w:lang w:val="en-US" w:eastAsia="zh-CN" w:bidi="ar-SA"/>
        </w:rPr>
        <w:t>省人民检察院</w:t>
      </w:r>
      <w:r>
        <w:rPr>
          <w:rFonts w:hint="eastAsia" w:eastAsia="仿宋_GB2312" w:cs="Times New Roman"/>
          <w:color w:val="auto"/>
          <w:kern w:val="0"/>
          <w:sz w:val="32"/>
          <w:szCs w:val="32"/>
          <w:lang w:val="en-US" w:eastAsia="zh-CN" w:bidi="ar-SA"/>
        </w:rPr>
        <w:t>选为典型案例。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b/>
          <w:bCs/>
          <w:color w:val="auto"/>
          <w:sz w:val="32"/>
          <w:szCs w:val="32"/>
          <w:lang w:val="en-US" w:eastAsia="zh-CN"/>
        </w:rPr>
        <w:t>未成年人</w:t>
      </w:r>
      <w:r>
        <w:rPr>
          <w:rFonts w:hint="eastAsia" w:ascii="仿宋_GB2312" w:hAnsi="仿宋_GB2312" w:cs="仿宋_GB2312"/>
          <w:b/>
          <w:bCs/>
          <w:color w:val="auto"/>
          <w:sz w:val="32"/>
          <w:szCs w:val="32"/>
          <w:lang w:val="en-US" w:eastAsia="zh-CN"/>
        </w:rPr>
        <w:t>检察</w:t>
      </w:r>
      <w:r>
        <w:rPr>
          <w:rFonts w:hint="eastAsia" w:ascii="仿宋_GB2312" w:hAnsi="仿宋_GB2312" w:eastAsia="仿宋_GB2312" w:cs="仿宋_GB2312"/>
          <w:b/>
          <w:bCs/>
          <w:color w:val="auto"/>
          <w:sz w:val="32"/>
          <w:szCs w:val="32"/>
          <w:lang w:val="en-US" w:eastAsia="zh-CN"/>
        </w:rPr>
        <w:t>成效明显。</w:t>
      </w:r>
      <w:r>
        <w:rPr>
          <w:rFonts w:hint="eastAsia" w:ascii="Times New Roman" w:hAnsi="Times New Roman" w:eastAsia="仿宋_GB2312" w:cs="Times New Roman"/>
          <w:color w:val="auto"/>
          <w:kern w:val="0"/>
          <w:sz w:val="32"/>
          <w:szCs w:val="32"/>
          <w:lang w:val="zh-CN" w:eastAsia="zh-CN" w:bidi="ar-SA"/>
        </w:rPr>
        <w:t>持</w:t>
      </w:r>
      <w:r>
        <w:rPr>
          <w:rFonts w:hint="eastAsia" w:ascii="Times New Roman" w:hAnsi="Times New Roman" w:eastAsia="仿宋_GB2312" w:cs="Times New Roman"/>
          <w:color w:val="auto"/>
          <w:kern w:val="0"/>
          <w:sz w:val="32"/>
          <w:szCs w:val="32"/>
          <w:lang w:val="en-US" w:eastAsia="zh-CN" w:bidi="ar-SA"/>
        </w:rPr>
        <w:t>续督促落实“一号检察建议”，联合相关部门会签《侵害未成年人案件强制报告制度的意见</w:t>
      </w:r>
      <w:r>
        <w:rPr>
          <w:rFonts w:hint="eastAsia" w:ascii="Times New Roman" w:hAnsi="Times New Roman" w:eastAsia="仿宋_GB2312" w:cs="Times New Roman"/>
          <w:color w:val="auto"/>
          <w:sz w:val="32"/>
          <w:szCs w:val="32"/>
          <w:lang w:val="en-US" w:eastAsia="zh-CN"/>
        </w:rPr>
        <w:t>（试行）》《关于建立教职工准入查询性侵违法犯罪信息制度的意见》</w:t>
      </w:r>
      <w:r>
        <w:rPr>
          <w:rFonts w:hint="eastAsia"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监开展相关查询工作</w:t>
      </w:r>
      <w:r>
        <w:rPr>
          <w:rFonts w:hint="eastAsia"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加强“检校共建”，充分发挥法治副校长作用，开展法治进校园7次，参与人数1200余人次，发放资料800余份。积极打造线上普法宣传栏目《听雨说》，取得了良好的法治效果。开展“远离烟草，健康成长”公益行活动，办理未成年人公益诉讼案件2件。办理抚养费支持起诉案件1件。</w:t>
      </w:r>
    </w:p>
    <w:p>
      <w:pPr>
        <w:pStyle w:val="2"/>
        <w:rPr>
          <w:rFonts w:hint="default"/>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560" w:lineRule="exact"/>
        <w:textAlignment w:val="auto"/>
        <w:rPr>
          <w:rStyle w:val="25"/>
          <w:b w:val="0"/>
          <w:bCs w:val="0"/>
        </w:rPr>
      </w:pPr>
      <w:bookmarkStart w:id="31" w:name="_Toc8865"/>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8"/>
      <w:bookmarkEnd w:id="29"/>
      <w:bookmarkEnd w:id="30"/>
      <w:bookmarkEnd w:id="31"/>
    </w:p>
    <w:p>
      <w:pPr>
        <w:pStyle w:val="2"/>
        <w:keepNext w:val="0"/>
        <w:keepLines w:val="0"/>
        <w:pageBreakBefore w:val="0"/>
        <w:widowControl w:val="0"/>
        <w:kinsoku/>
        <w:wordWrap/>
        <w:overflowPunct/>
        <w:topLinePunct w:val="0"/>
        <w:autoSpaceDE/>
        <w:autoSpaceDN/>
        <w:bidi w:val="0"/>
        <w:adjustRightInd w:val="0"/>
        <w:snapToGrid w:val="0"/>
        <w:spacing w:before="93" w:line="600" w:lineRule="exact"/>
        <w:ind w:firstLine="640" w:firstLineChars="200"/>
        <w:textAlignment w:val="auto"/>
        <w:rPr>
          <w:rFonts w:hint="eastAsia" w:ascii="仿宋_GB2312" w:hAnsi="仿宋_GB2312" w:eastAsia="仿宋_GB2312" w:cs="仿宋_GB2312"/>
          <w:snapToGrid w:val="0"/>
          <w:color w:val="000000"/>
          <w:spacing w:val="0"/>
          <w:w w:val="100"/>
          <w:kern w:val="0"/>
          <w:sz w:val="32"/>
          <w:szCs w:val="32"/>
          <w:lang w:val="en-US" w:eastAsia="zh-CN" w:bidi="ar-SA"/>
        </w:rPr>
      </w:pPr>
      <w:bookmarkStart w:id="32" w:name="_Toc15377432"/>
      <w:bookmarkStart w:id="33" w:name="_Toc15377201"/>
      <w:bookmarkStart w:id="34" w:name="_Toc15306275"/>
      <w:bookmarkStart w:id="35" w:name="_Toc15378448"/>
      <w:bookmarkStart w:id="36" w:name="_Toc79163606"/>
      <w:r>
        <w:rPr>
          <w:rFonts w:hint="eastAsia" w:ascii="仿宋_GB2312" w:hAnsi="仿宋_GB2312" w:eastAsia="仿宋_GB2312" w:cs="仿宋_GB2312"/>
          <w:snapToGrid w:val="0"/>
          <w:color w:val="000000"/>
          <w:spacing w:val="0"/>
          <w:w w:val="100"/>
          <w:kern w:val="0"/>
          <w:sz w:val="32"/>
          <w:szCs w:val="32"/>
          <w:lang w:val="en-US" w:eastAsia="zh-CN" w:bidi="ar-SA"/>
        </w:rPr>
        <w:t>壤塘县人民检察院无下属二级单位，基本性质为行政单位。</w:t>
      </w:r>
    </w:p>
    <w:bookmarkEnd w:id="32"/>
    <w:bookmarkEnd w:id="33"/>
    <w:bookmarkEnd w:id="34"/>
    <w:bookmarkEnd w:id="35"/>
    <w:bookmarkEnd w:id="36"/>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3"/>
        <w:ind w:right="440"/>
        <w:jc w:val="right"/>
        <w:rPr>
          <w:rStyle w:val="24"/>
          <w:rFonts w:ascii="黑体" w:hAnsi="黑体" w:eastAsia="黑体"/>
          <w:b w:val="0"/>
          <w:bCs w:val="0"/>
        </w:rPr>
      </w:pPr>
      <w:bookmarkStart w:id="37" w:name="_Toc79163609"/>
      <w:bookmarkStart w:id="38" w:name="_Toc7271"/>
      <w:bookmarkStart w:id="39" w:name="_Toc15377204"/>
      <w:bookmarkStart w:id="40" w:name="_Toc15396602"/>
      <w:r>
        <w:rPr>
          <w:rFonts w:hint="eastAsia" w:ascii="黑体" w:hAnsi="黑体" w:eastAsia="黑体"/>
          <w:b w:val="0"/>
          <w:color w:val="000000"/>
        </w:rPr>
        <w:t>第二部分</w:t>
      </w:r>
      <w:r>
        <w:rPr>
          <w:rFonts w:ascii="黑体" w:hAnsi="黑体" w:eastAsia="黑体"/>
          <w:color w:val="000000"/>
        </w:rPr>
        <w:t xml:space="preserve"> </w:t>
      </w:r>
      <w:r>
        <w:rPr>
          <w:rStyle w:val="24"/>
          <w:rFonts w:ascii="黑体" w:hAnsi="黑体" w:eastAsia="黑体"/>
          <w:b w:val="0"/>
          <w:bCs w:val="0"/>
        </w:rPr>
        <w:t>202</w:t>
      </w:r>
      <w:r>
        <w:rPr>
          <w:rStyle w:val="24"/>
          <w:rFonts w:hint="eastAsia" w:ascii="黑体" w:hAnsi="黑体" w:eastAsia="黑体"/>
          <w:b w:val="0"/>
          <w:bCs w:val="0"/>
        </w:rPr>
        <w:t>1年度部门决算情况说明</w:t>
      </w:r>
      <w:bookmarkEnd w:id="37"/>
      <w:bookmarkEnd w:id="38"/>
      <w:bookmarkEnd w:id="39"/>
      <w:bookmarkEnd w:id="40"/>
    </w:p>
    <w:p/>
    <w:p>
      <w:pPr>
        <w:pStyle w:val="35"/>
        <w:numPr>
          <w:ilvl w:val="0"/>
          <w:numId w:val="1"/>
        </w:numPr>
        <w:spacing w:line="600" w:lineRule="exact"/>
        <w:ind w:firstLineChars="0"/>
        <w:outlineLvl w:val="1"/>
        <w:rPr>
          <w:rStyle w:val="25"/>
          <w:rFonts w:ascii="黑体" w:hAnsi="黑体" w:eastAsia="黑体"/>
          <w:b w:val="0"/>
        </w:rPr>
      </w:pPr>
      <w:bookmarkStart w:id="41" w:name="_Toc79163610"/>
      <w:bookmarkStart w:id="42" w:name="_Toc15377205"/>
      <w:bookmarkStart w:id="43" w:name="_Toc15396603"/>
      <w:bookmarkStart w:id="44" w:name="_Toc30449"/>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41"/>
      <w:bookmarkEnd w:id="42"/>
      <w:bookmarkEnd w:id="43"/>
      <w:bookmarkEnd w:id="44"/>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napToGrid w:val="0"/>
          <w:color w:val="000000"/>
          <w:spacing w:val="0"/>
          <w:w w:val="100"/>
          <w:kern w:val="0"/>
          <w:sz w:val="32"/>
          <w:szCs w:val="32"/>
          <w:lang w:val="en-US" w:eastAsia="zh-CN" w:bidi="ar-SA"/>
        </w:rPr>
      </w:pPr>
      <w:r>
        <w:rPr>
          <w:rFonts w:hint="eastAsia" w:ascii="仿宋_GB2312" w:hAnsi="仿宋_GB2312" w:eastAsia="仿宋_GB2312" w:cs="仿宋_GB2312"/>
          <w:snapToGrid w:val="0"/>
          <w:color w:val="000000"/>
          <w:spacing w:val="0"/>
          <w:w w:val="100"/>
          <w:kern w:val="0"/>
          <w:sz w:val="32"/>
          <w:szCs w:val="32"/>
          <w:lang w:val="en-US" w:eastAsia="zh-CN" w:bidi="ar-SA"/>
        </w:rPr>
        <w:t>2021年度收、支总计854.83万元。与2020年相比，收入总计减少76.55万元，下降8.22%，单位支出总计减少12.54万元，下降1.45%；主要变动原因是单位人员变动，导致单位支出减少。</w:t>
      </w:r>
    </w:p>
    <w:p>
      <w:pPr>
        <w:pStyle w:val="23"/>
        <w:rPr>
          <w:rFonts w:hint="default" w:ascii="仿宋" w:hAnsi="仿宋" w:eastAsia="仿宋"/>
          <w:color w:val="000000"/>
          <w:sz w:val="32"/>
          <w:szCs w:val="32"/>
          <w:lang w:val="en-US" w:eastAsia="zh-CN"/>
        </w:rPr>
      </w:pPr>
      <w:r>
        <w:rPr>
          <w:rFonts w:hint="default" w:ascii="仿宋" w:hAnsi="仿宋" w:eastAsia="仿宋"/>
          <w:color w:val="000000"/>
          <w:sz w:val="32"/>
          <w:szCs w:val="32"/>
          <w:lang w:val="en-US" w:eastAsia="zh-CN"/>
        </w:rPr>
        <w:drawing>
          <wp:inline distT="0" distB="0" distL="114300" distR="114300">
            <wp:extent cx="5080000" cy="3810000"/>
            <wp:effectExtent l="4445" t="4445" r="2095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1600" w:firstLineChars="5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w:t>
      </w:r>
    </w:p>
    <w:p>
      <w:pPr>
        <w:spacing w:line="600" w:lineRule="exact"/>
        <w:ind w:firstLine="640" w:firstLineChars="200"/>
        <w:jc w:val="left"/>
        <w:rPr>
          <w:rFonts w:ascii="仿宋_GB2312" w:eastAsia="仿宋_GB2312"/>
          <w:color w:val="000000"/>
          <w:sz w:val="32"/>
          <w:szCs w:val="32"/>
        </w:rPr>
      </w:pPr>
    </w:p>
    <w:p>
      <w:pPr>
        <w:pStyle w:val="35"/>
        <w:numPr>
          <w:ilvl w:val="0"/>
          <w:numId w:val="1"/>
        </w:numPr>
        <w:spacing w:line="600" w:lineRule="exact"/>
        <w:ind w:firstLineChars="0"/>
        <w:outlineLvl w:val="1"/>
        <w:rPr>
          <w:rStyle w:val="25"/>
          <w:rFonts w:ascii="黑体" w:hAnsi="黑体" w:eastAsia="黑体"/>
          <w:b w:val="0"/>
        </w:rPr>
      </w:pPr>
      <w:bookmarkStart w:id="45" w:name="_Toc15396604"/>
      <w:bookmarkStart w:id="46" w:name="_Toc79163611"/>
      <w:bookmarkStart w:id="47" w:name="_Toc15377206"/>
      <w:bookmarkStart w:id="48" w:name="_Toc4596"/>
      <w:r>
        <w:rPr>
          <w:rFonts w:hint="eastAsia" w:ascii="黑体" w:hAnsi="黑体" w:eastAsia="黑体"/>
          <w:color w:val="000000"/>
          <w:sz w:val="32"/>
          <w:szCs w:val="32"/>
        </w:rPr>
        <w:t>收</w:t>
      </w:r>
      <w:r>
        <w:rPr>
          <w:rStyle w:val="25"/>
          <w:rFonts w:hint="eastAsia" w:ascii="黑体" w:hAnsi="黑体" w:eastAsia="黑体"/>
          <w:b w:val="0"/>
        </w:rPr>
        <w:t>入决算情况说明</w:t>
      </w:r>
      <w:bookmarkEnd w:id="45"/>
      <w:bookmarkEnd w:id="46"/>
      <w:bookmarkEnd w:id="47"/>
      <w:bookmarkEnd w:id="48"/>
    </w:p>
    <w:p>
      <w:pPr>
        <w:spacing w:line="600" w:lineRule="exact"/>
        <w:ind w:firstLine="640" w:firstLineChars="200"/>
        <w:rPr>
          <w:rFonts w:hint="eastAsia" w:ascii="仿宋_GB2312" w:hAnsi="仿宋_GB2312" w:eastAsia="仿宋_GB2312" w:cs="仿宋_GB2312"/>
          <w:snapToGrid w:val="0"/>
          <w:color w:val="000000"/>
          <w:spacing w:val="0"/>
          <w:w w:val="100"/>
          <w:kern w:val="0"/>
          <w:sz w:val="32"/>
          <w:szCs w:val="32"/>
          <w:lang w:val="en-US" w:eastAsia="zh-CN" w:bidi="ar-SA"/>
        </w:rPr>
      </w:pPr>
      <w:r>
        <w:rPr>
          <w:rFonts w:hint="eastAsia" w:ascii="仿宋_GB2312" w:hAnsi="仿宋_GB2312" w:eastAsia="仿宋_GB2312" w:cs="仿宋_GB2312"/>
          <w:snapToGrid w:val="0"/>
          <w:color w:val="000000"/>
          <w:spacing w:val="0"/>
          <w:w w:val="100"/>
          <w:kern w:val="0"/>
          <w:sz w:val="32"/>
          <w:szCs w:val="32"/>
          <w:lang w:val="en-US" w:eastAsia="zh-CN" w:bidi="ar-SA"/>
        </w:rPr>
        <w:t>2021年本年收入合计729.84万元，其中：一般公共预算财政拨款收入100万元，占100%；政府性基金预算财政拨款收入0万元；上级补助收入0万元；事业收入0万元；经营收入0万元；附属单位上缴收入0万元；其他收入0万元。</w:t>
      </w:r>
    </w:p>
    <w:p>
      <w:pPr>
        <w:pStyle w:val="23"/>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drawing>
          <wp:inline distT="0" distB="0" distL="114300" distR="114300">
            <wp:extent cx="4017010" cy="2889885"/>
            <wp:effectExtent l="4445" t="4445" r="17145" b="2032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1920" w:firstLineChars="600"/>
        <w:rPr>
          <w:rFonts w:ascii="仿宋_GB2312" w:eastAsia="仿宋_GB2312"/>
          <w:color w:val="FF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w:t>
      </w:r>
    </w:p>
    <w:p>
      <w:pPr>
        <w:pStyle w:val="35"/>
        <w:numPr>
          <w:ilvl w:val="0"/>
          <w:numId w:val="1"/>
        </w:numPr>
        <w:spacing w:line="600" w:lineRule="exact"/>
        <w:ind w:firstLineChars="0"/>
        <w:outlineLvl w:val="1"/>
        <w:rPr>
          <w:rStyle w:val="25"/>
          <w:rFonts w:ascii="黑体" w:hAnsi="黑体" w:eastAsia="黑体"/>
          <w:b w:val="0"/>
        </w:rPr>
      </w:pPr>
      <w:bookmarkStart w:id="49" w:name="_Toc79163612"/>
      <w:bookmarkStart w:id="50" w:name="_Toc15377207"/>
      <w:bookmarkStart w:id="51" w:name="_Toc15396605"/>
      <w:bookmarkStart w:id="52" w:name="_Toc31356"/>
      <w:r>
        <w:rPr>
          <w:rFonts w:hint="eastAsia" w:ascii="黑体" w:hAnsi="黑体" w:eastAsia="黑体"/>
          <w:color w:val="000000"/>
          <w:sz w:val="32"/>
          <w:szCs w:val="32"/>
        </w:rPr>
        <w:t>支</w:t>
      </w:r>
      <w:r>
        <w:rPr>
          <w:rStyle w:val="25"/>
          <w:rFonts w:hint="eastAsia" w:ascii="黑体" w:hAnsi="黑体" w:eastAsia="黑体"/>
          <w:b w:val="0"/>
        </w:rPr>
        <w:t>出决算情况说明</w:t>
      </w:r>
      <w:bookmarkEnd w:id="49"/>
      <w:bookmarkEnd w:id="50"/>
      <w:bookmarkEnd w:id="51"/>
      <w:bookmarkEnd w:id="52"/>
    </w:p>
    <w:p>
      <w:pPr>
        <w:spacing w:line="600" w:lineRule="exact"/>
        <w:ind w:firstLine="640" w:firstLineChars="200"/>
        <w:rPr>
          <w:rFonts w:hint="eastAsia" w:ascii="仿宋_GB2312" w:hAnsi="仿宋_GB2312" w:eastAsia="仿宋_GB2312" w:cs="仿宋_GB2312"/>
          <w:snapToGrid w:val="0"/>
          <w:color w:val="000000"/>
          <w:spacing w:val="0"/>
          <w:w w:val="100"/>
          <w:kern w:val="0"/>
          <w:sz w:val="32"/>
          <w:szCs w:val="32"/>
          <w:lang w:val="en-US" w:eastAsia="zh-CN" w:bidi="ar-SA"/>
        </w:rPr>
      </w:pPr>
      <w:r>
        <w:rPr>
          <w:rFonts w:hint="eastAsia" w:ascii="仿宋_GB2312" w:hAnsi="仿宋_GB2312" w:eastAsia="仿宋_GB2312" w:cs="仿宋_GB2312"/>
          <w:snapToGrid w:val="0"/>
          <w:color w:val="000000"/>
          <w:spacing w:val="0"/>
          <w:w w:val="100"/>
          <w:kern w:val="0"/>
          <w:sz w:val="32"/>
          <w:szCs w:val="32"/>
          <w:lang w:val="en-US" w:eastAsia="zh-CN" w:bidi="ar-SA"/>
        </w:rPr>
        <w:t>2021年本年支出合计854.83万元，其中：基本支出624.63万元，占73.07%；项目支出230.2万元，占26.93%。</w:t>
      </w:r>
    </w:p>
    <w:p>
      <w:pPr>
        <w:spacing w:line="600" w:lineRule="exact"/>
        <w:ind w:firstLine="640"/>
        <w:rPr>
          <w:rFonts w:hint="eastAsia" w:ascii="仿宋" w:hAnsi="仿宋" w:eastAsia="仿宋"/>
          <w:color w:val="000000"/>
          <w:sz w:val="32"/>
          <w:szCs w:val="32"/>
          <w:shd w:val="pct10" w:color="auto" w:fill="FFFFFF"/>
          <w:lang w:eastAsia="zh-CN"/>
        </w:rPr>
      </w:pPr>
      <w:r>
        <w:rPr>
          <w:rFonts w:hint="eastAsia" w:ascii="仿宋" w:hAnsi="仿宋" w:eastAsia="仿宋"/>
          <w:color w:val="000000"/>
          <w:sz w:val="32"/>
          <w:szCs w:val="32"/>
          <w:shd w:val="pct10" w:color="auto" w:fill="FFFFFF"/>
          <w:lang w:eastAsia="zh-CN"/>
        </w:rPr>
        <w:drawing>
          <wp:anchor distT="0" distB="0" distL="114300" distR="114300" simplePos="0" relativeHeight="251659264" behindDoc="0" locked="0" layoutInCell="1" allowOverlap="1">
            <wp:simplePos x="0" y="0"/>
            <wp:positionH relativeFrom="column">
              <wp:posOffset>474345</wp:posOffset>
            </wp:positionH>
            <wp:positionV relativeFrom="paragraph">
              <wp:posOffset>115570</wp:posOffset>
            </wp:positionV>
            <wp:extent cx="4382135" cy="2992755"/>
            <wp:effectExtent l="4445" t="4445" r="13970" b="1270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rPr>
          <w:rFonts w:hint="eastAsia" w:ascii="仿宋" w:hAnsi="仿宋" w:eastAsia="仿宋"/>
          <w:color w:val="000000"/>
          <w:sz w:val="32"/>
          <w:szCs w:val="32"/>
          <w:shd w:val="pct10" w:color="auto" w:fill="FFFFFF"/>
          <w:lang w:eastAsia="zh-CN"/>
        </w:rPr>
      </w:pPr>
    </w:p>
    <w:p>
      <w:pPr>
        <w:spacing w:line="600" w:lineRule="exact"/>
        <w:ind w:firstLine="640"/>
        <w:rPr>
          <w:rFonts w:hint="eastAsia" w:ascii="仿宋" w:hAnsi="仿宋" w:eastAsia="仿宋"/>
          <w:color w:val="000000"/>
          <w:sz w:val="32"/>
          <w:szCs w:val="32"/>
          <w:shd w:val="pct10" w:color="auto" w:fill="FFFFFF"/>
          <w:lang w:eastAsia="zh-CN"/>
        </w:rPr>
      </w:pPr>
    </w:p>
    <w:p>
      <w:pPr>
        <w:spacing w:line="600" w:lineRule="exact"/>
        <w:ind w:firstLine="640"/>
        <w:rPr>
          <w:rFonts w:hint="eastAsia" w:ascii="仿宋" w:hAnsi="仿宋" w:eastAsia="仿宋"/>
          <w:color w:val="000000"/>
          <w:sz w:val="32"/>
          <w:szCs w:val="32"/>
          <w:shd w:val="pct10" w:color="auto" w:fill="FFFFFF"/>
          <w:lang w:eastAsia="zh-CN"/>
        </w:rPr>
      </w:pPr>
    </w:p>
    <w:p>
      <w:pPr>
        <w:spacing w:line="600" w:lineRule="exact"/>
        <w:ind w:firstLine="640"/>
        <w:rPr>
          <w:rFonts w:hint="eastAsia" w:ascii="仿宋" w:hAnsi="仿宋" w:eastAsia="仿宋"/>
          <w:color w:val="000000"/>
          <w:sz w:val="32"/>
          <w:szCs w:val="32"/>
          <w:shd w:val="pct10" w:color="auto" w:fill="FFFFFF"/>
          <w:lang w:eastAsia="zh-CN"/>
        </w:rPr>
      </w:pPr>
    </w:p>
    <w:p>
      <w:pPr>
        <w:spacing w:line="600" w:lineRule="exact"/>
        <w:ind w:firstLine="640"/>
        <w:rPr>
          <w:rFonts w:hint="eastAsia" w:ascii="仿宋" w:hAnsi="仿宋" w:eastAsia="仿宋"/>
          <w:color w:val="000000"/>
          <w:sz w:val="32"/>
          <w:szCs w:val="32"/>
          <w:shd w:val="pct10" w:color="auto" w:fill="FFFFFF"/>
          <w:lang w:eastAsia="zh-CN"/>
        </w:rPr>
      </w:pPr>
    </w:p>
    <w:p>
      <w:pPr>
        <w:spacing w:line="600" w:lineRule="exact"/>
        <w:ind w:firstLine="640"/>
        <w:rPr>
          <w:rFonts w:hint="eastAsia" w:ascii="仿宋" w:hAnsi="仿宋" w:eastAsia="仿宋"/>
          <w:color w:val="000000"/>
          <w:sz w:val="32"/>
          <w:szCs w:val="32"/>
          <w:shd w:val="pct10" w:color="auto" w:fill="FFFFFF"/>
          <w:lang w:eastAsia="zh-CN"/>
        </w:rPr>
      </w:pPr>
    </w:p>
    <w:p>
      <w:pPr>
        <w:pStyle w:val="23"/>
        <w:ind w:left="0" w:leftChars="0" w:firstLine="0" w:firstLineChars="0"/>
        <w:rPr>
          <w:rFonts w:ascii="仿宋" w:hAnsi="仿宋" w:eastAsia="仿宋"/>
          <w:color w:val="000000"/>
          <w:sz w:val="32"/>
          <w:szCs w:val="32"/>
          <w:shd w:val="pct10" w:color="auto" w:fill="FFFFFF"/>
        </w:rPr>
      </w:pPr>
    </w:p>
    <w:p>
      <w:pPr>
        <w:spacing w:line="600" w:lineRule="exact"/>
        <w:ind w:firstLine="2240" w:firstLineChars="7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5"/>
          <w:rFonts w:ascii="黑体" w:hAnsi="黑体" w:eastAsia="黑体"/>
          <w:b w:val="0"/>
        </w:rPr>
      </w:pPr>
      <w:bookmarkStart w:id="53" w:name="_Toc79163613"/>
      <w:bookmarkStart w:id="54" w:name="_Toc10208"/>
      <w:bookmarkStart w:id="55" w:name="_Toc15396606"/>
      <w:bookmarkStart w:id="56" w:name="_Toc15377208"/>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53"/>
      <w:bookmarkEnd w:id="54"/>
      <w:bookmarkEnd w:id="55"/>
      <w:bookmarkEnd w:id="56"/>
    </w:p>
    <w:p>
      <w:pPr>
        <w:spacing w:line="600" w:lineRule="exact"/>
        <w:ind w:firstLine="640" w:firstLineChars="200"/>
        <w:rPr>
          <w:rFonts w:hint="eastAsia" w:ascii="仿宋_GB2312" w:hAnsi="仿宋_GB2312" w:eastAsia="仿宋_GB2312" w:cs="仿宋_GB2312"/>
          <w:snapToGrid w:val="0"/>
          <w:color w:val="000000"/>
          <w:spacing w:val="0"/>
          <w:w w:val="100"/>
          <w:kern w:val="0"/>
          <w:sz w:val="32"/>
          <w:szCs w:val="32"/>
          <w:lang w:val="en-US" w:eastAsia="zh-CN" w:bidi="ar-SA"/>
        </w:rPr>
      </w:pPr>
      <w:r>
        <w:rPr>
          <w:rFonts w:hint="eastAsia" w:ascii="仿宋_GB2312" w:hAnsi="仿宋_GB2312" w:eastAsia="仿宋_GB2312" w:cs="仿宋_GB2312"/>
          <w:snapToGrid w:val="0"/>
          <w:color w:val="000000"/>
          <w:spacing w:val="0"/>
          <w:w w:val="100"/>
          <w:kern w:val="0"/>
          <w:sz w:val="32"/>
          <w:szCs w:val="32"/>
          <w:lang w:val="en-US" w:eastAsia="zh-CN" w:bidi="ar-SA"/>
        </w:rPr>
        <w:t>2021年度财政拨款收、支总计854.83万元。与2020年相比，财政拨款收入总计减少76.55万元，下降8.22%；财政拨款支出总计减少12.54万元，下降1.45%；主要变动原因是单位人员变动，导致单位支出减少。</w:t>
      </w:r>
    </w:p>
    <w:p>
      <w:pPr>
        <w:pStyle w:val="23"/>
        <w:rPr>
          <w:rFonts w:ascii="仿宋" w:hAnsi="仿宋" w:eastAsia="仿宋"/>
          <w:color w:val="000000"/>
          <w:sz w:val="32"/>
          <w:szCs w:val="32"/>
        </w:rPr>
      </w:pPr>
      <w:r>
        <w:rPr>
          <w:rFonts w:hint="default" w:ascii="仿宋" w:hAnsi="仿宋" w:eastAsia="仿宋"/>
          <w:color w:val="000000"/>
          <w:sz w:val="32"/>
          <w:szCs w:val="32"/>
          <w:lang w:val="en-US" w:eastAsia="zh-CN"/>
        </w:rPr>
        <w:drawing>
          <wp:inline distT="0" distB="0" distL="114300" distR="114300">
            <wp:extent cx="4660265" cy="1970405"/>
            <wp:effectExtent l="4445" t="5080" r="21590" b="571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w:t>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5"/>
          <w:rFonts w:ascii="黑体" w:hAnsi="黑体" w:eastAsia="黑体"/>
          <w:b w:val="0"/>
        </w:rPr>
      </w:pPr>
      <w:bookmarkStart w:id="57" w:name="_Toc28591"/>
      <w:bookmarkStart w:id="58" w:name="_Toc79163614"/>
      <w:bookmarkStart w:id="59" w:name="_Toc15396607"/>
      <w:bookmarkStart w:id="60"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57"/>
      <w:bookmarkEnd w:id="58"/>
      <w:bookmarkEnd w:id="59"/>
      <w:bookmarkEnd w:id="60"/>
    </w:p>
    <w:p>
      <w:pPr>
        <w:spacing w:line="600" w:lineRule="exact"/>
        <w:ind w:firstLine="643" w:firstLineChars="200"/>
        <w:outlineLvl w:val="2"/>
        <w:rPr>
          <w:rFonts w:ascii="仿宋" w:hAnsi="仿宋" w:eastAsia="仿宋"/>
          <w:b/>
          <w:color w:val="000000"/>
          <w:sz w:val="32"/>
          <w:szCs w:val="32"/>
        </w:rPr>
      </w:pPr>
      <w:bookmarkStart w:id="61" w:name="_Toc15377210"/>
      <w:bookmarkStart w:id="62" w:name="_Toc79163615"/>
      <w:bookmarkStart w:id="63" w:name="_Toc22914"/>
      <w:r>
        <w:rPr>
          <w:rFonts w:hint="eastAsia" w:ascii="仿宋" w:hAnsi="仿宋" w:eastAsia="仿宋"/>
          <w:b/>
          <w:color w:val="000000"/>
          <w:sz w:val="32"/>
          <w:szCs w:val="32"/>
        </w:rPr>
        <w:t>（一）一般公共预算财政拨款支出决算总体情况</w:t>
      </w:r>
      <w:bookmarkEnd w:id="61"/>
      <w:bookmarkEnd w:id="62"/>
      <w:bookmarkEnd w:id="63"/>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napToGrid w:val="0"/>
          <w:color w:val="000000"/>
          <w:spacing w:val="0"/>
          <w:w w:val="100"/>
          <w:kern w:val="0"/>
          <w:sz w:val="32"/>
          <w:szCs w:val="32"/>
          <w:lang w:val="en-US" w:eastAsia="zh-CN" w:bidi="ar-SA"/>
        </w:rPr>
      </w:pPr>
      <w:r>
        <w:rPr>
          <w:rFonts w:hint="eastAsia" w:ascii="仿宋_GB2312" w:hAnsi="仿宋_GB2312" w:eastAsia="仿宋_GB2312" w:cs="仿宋_GB2312"/>
          <w:snapToGrid w:val="0"/>
          <w:color w:val="000000"/>
          <w:spacing w:val="0"/>
          <w:w w:val="100"/>
          <w:kern w:val="0"/>
          <w:sz w:val="32"/>
          <w:szCs w:val="32"/>
          <w:lang w:val="en-US" w:eastAsia="zh-CN" w:bidi="ar-SA"/>
        </w:rPr>
        <w:t>2021年一般公共预算财政拨款支出854.83万元，占本年支出合计的100%。与2020年相比，一般公共预算财政拨款减少12.54万元，下降1.45%。主要变动原因是单位人员变动导致支出变化。</w:t>
      </w:r>
    </w:p>
    <w:p>
      <w:pPr>
        <w:pStyle w:val="23"/>
        <w:rPr>
          <w:rFonts w:hint="eastAsia" w:ascii="仿宋" w:hAnsi="仿宋" w:eastAsia="仿宋"/>
          <w:color w:val="000000"/>
          <w:sz w:val="32"/>
          <w:szCs w:val="32"/>
          <w:lang w:val="en-US" w:eastAsia="zh-CN"/>
        </w:rPr>
      </w:pPr>
    </w:p>
    <w:p>
      <w:pPr>
        <w:pStyle w:val="23"/>
        <w:rPr>
          <w:rFonts w:hint="eastAsia" w:ascii="仿宋" w:hAnsi="仿宋" w:eastAsia="仿宋"/>
          <w:color w:val="000000"/>
          <w:sz w:val="32"/>
          <w:szCs w:val="32"/>
          <w:lang w:val="en-US" w:eastAsia="zh-CN"/>
        </w:rPr>
      </w:pPr>
    </w:p>
    <w:p>
      <w:pPr>
        <w:pStyle w:val="23"/>
        <w:rPr>
          <w:rFonts w:hint="eastAsia" w:ascii="仿宋" w:hAnsi="仿宋" w:eastAsia="仿宋"/>
          <w:color w:val="000000"/>
          <w:sz w:val="32"/>
          <w:szCs w:val="32"/>
          <w:lang w:val="en-US" w:eastAsia="zh-CN"/>
        </w:rPr>
      </w:pPr>
    </w:p>
    <w:p>
      <w:pPr>
        <w:pStyle w:val="23"/>
        <w:rPr>
          <w:rFonts w:hint="eastAsia" w:ascii="仿宋" w:hAnsi="仿宋" w:eastAsia="仿宋"/>
          <w:color w:val="000000"/>
          <w:sz w:val="32"/>
          <w:szCs w:val="32"/>
          <w:lang w:val="en-US" w:eastAsia="zh-CN"/>
        </w:rPr>
      </w:pPr>
    </w:p>
    <w:p>
      <w:pPr>
        <w:pStyle w:val="23"/>
        <w:rPr>
          <w:rFonts w:hint="default" w:ascii="仿宋" w:hAnsi="仿宋" w:eastAsia="仿宋"/>
          <w:color w:val="000000"/>
          <w:sz w:val="32"/>
          <w:szCs w:val="32"/>
          <w:lang w:val="en-US" w:eastAsia="zh-CN"/>
        </w:rPr>
      </w:pPr>
      <w:r>
        <w:rPr>
          <w:rFonts w:hint="default" w:ascii="仿宋" w:hAnsi="仿宋" w:eastAsia="仿宋"/>
          <w:color w:val="000000"/>
          <w:sz w:val="32"/>
          <w:szCs w:val="32"/>
          <w:lang w:val="en-US" w:eastAsia="zh-CN"/>
        </w:rPr>
        <w:drawing>
          <wp:inline distT="0" distB="0" distL="114300" distR="114300">
            <wp:extent cx="4873625" cy="2595245"/>
            <wp:effectExtent l="4445" t="4445" r="17780" b="1016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napToGrid w:val="0"/>
          <w:color w:val="000000"/>
          <w:spacing w:val="0"/>
          <w:w w:val="100"/>
          <w:kern w:val="0"/>
          <w:sz w:val="32"/>
          <w:szCs w:val="32"/>
          <w:lang w:val="en-US" w:eastAsia="zh-CN" w:bidi="ar-SA"/>
        </w:rPr>
      </w:pPr>
      <w:r>
        <w:rPr>
          <w:rFonts w:hint="eastAsia" w:ascii="仿宋_GB2312" w:hAnsi="仿宋_GB2312" w:eastAsia="仿宋_GB2312" w:cs="仿宋_GB2312"/>
          <w:snapToGrid w:val="0"/>
          <w:color w:val="000000"/>
          <w:spacing w:val="0"/>
          <w:w w:val="100"/>
          <w:kern w:val="0"/>
          <w:sz w:val="32"/>
          <w:szCs w:val="32"/>
          <w:lang w:val="en-US" w:eastAsia="zh-CN" w:bidi="ar-SA"/>
        </w:rPr>
        <w:t>（图5：一般公共预算财政拨款支出决算变动情况）</w:t>
      </w:r>
    </w:p>
    <w:p>
      <w:pPr>
        <w:spacing w:line="600" w:lineRule="exact"/>
        <w:ind w:firstLine="643" w:firstLineChars="200"/>
        <w:outlineLvl w:val="2"/>
        <w:rPr>
          <w:rFonts w:ascii="仿宋" w:hAnsi="仿宋" w:eastAsia="仿宋"/>
          <w:b/>
          <w:color w:val="000000"/>
          <w:sz w:val="32"/>
          <w:szCs w:val="32"/>
        </w:rPr>
      </w:pPr>
      <w:bookmarkStart w:id="64" w:name="_Toc79163616"/>
      <w:bookmarkStart w:id="65" w:name="_Toc1208"/>
      <w:bookmarkStart w:id="66" w:name="_Toc15377211"/>
      <w:r>
        <w:rPr>
          <w:rFonts w:hint="eastAsia" w:ascii="仿宋" w:hAnsi="仿宋" w:eastAsia="仿宋"/>
          <w:b/>
          <w:color w:val="000000"/>
          <w:sz w:val="32"/>
          <w:szCs w:val="32"/>
        </w:rPr>
        <w:t>（二）一般公共预算财政拨款支出决算结构情况</w:t>
      </w:r>
      <w:bookmarkEnd w:id="64"/>
      <w:bookmarkEnd w:id="65"/>
      <w:bookmarkEnd w:id="66"/>
    </w:p>
    <w:p>
      <w:pPr>
        <w:spacing w:line="600" w:lineRule="exact"/>
        <w:ind w:firstLine="640"/>
        <w:rPr>
          <w:rFonts w:hint="eastAsia" w:ascii="仿宋_GB2312" w:hAnsi="仿宋_GB2312" w:eastAsia="仿宋_GB2312" w:cs="仿宋_GB2312"/>
          <w:snapToGrid w:val="0"/>
          <w:color w:val="000000"/>
          <w:spacing w:val="0"/>
          <w:w w:val="100"/>
          <w:kern w:val="0"/>
          <w:sz w:val="32"/>
          <w:szCs w:val="32"/>
          <w:lang w:val="en-US" w:eastAsia="zh-CN" w:bidi="ar-SA"/>
        </w:rPr>
      </w:pPr>
      <w:r>
        <w:rPr>
          <w:rFonts w:hint="eastAsia" w:ascii="仿宋_GB2312" w:hAnsi="仿宋_GB2312" w:eastAsia="仿宋_GB2312" w:cs="仿宋_GB2312"/>
          <w:snapToGrid w:val="0"/>
          <w:color w:val="000000"/>
          <w:spacing w:val="0"/>
          <w:w w:val="100"/>
          <w:kern w:val="0"/>
          <w:sz w:val="32"/>
          <w:szCs w:val="32"/>
          <w:lang w:val="en-US" w:eastAsia="zh-CN" w:bidi="ar-SA"/>
        </w:rPr>
        <w:t>2021年一般公共预算财政拨款支出854.83万元，主要用于以下方面:公共安全（类）支出713.16万元，占83.43%；社会保障和就业（类）75.07万元，占8.78%；卫生健康（类）支出24.26万元，占2.84%；住房保障（类）支出42.34万元，占4.95%。</w:t>
      </w:r>
    </w:p>
    <w:p>
      <w:pPr>
        <w:pStyle w:val="23"/>
        <w:ind w:left="0" w:leftChars="0" w:firstLine="0" w:firstLineChars="0"/>
        <w:rPr>
          <w:rFonts w:hint="eastAsia" w:ascii="仿宋" w:hAnsi="仿宋" w:eastAsia="仿宋"/>
          <w:b/>
          <w:bCs/>
          <w:color w:val="000000"/>
          <w:sz w:val="32"/>
          <w:szCs w:val="32"/>
          <w:lang w:val="en-US" w:eastAsia="zh-CN"/>
        </w:rPr>
      </w:pPr>
      <w:r>
        <w:rPr>
          <w:rFonts w:hint="eastAsia" w:ascii="仿宋" w:hAnsi="仿宋" w:eastAsia="仿宋"/>
          <w:b/>
          <w:bCs/>
          <w:color w:val="000000"/>
          <w:sz w:val="32"/>
          <w:szCs w:val="32"/>
          <w:lang w:val="en-US" w:eastAsia="zh-CN"/>
        </w:rPr>
        <w:t xml:space="preserve">    </w:t>
      </w:r>
      <w:r>
        <w:rPr>
          <w:rFonts w:hint="eastAsia" w:ascii="仿宋" w:hAnsi="仿宋" w:eastAsia="仿宋"/>
          <w:b/>
          <w:bCs/>
          <w:color w:val="000000"/>
          <w:sz w:val="32"/>
          <w:szCs w:val="32"/>
          <w:lang w:val="en-US" w:eastAsia="zh-CN"/>
        </w:rPr>
        <w:drawing>
          <wp:inline distT="0" distB="0" distL="114300" distR="114300">
            <wp:extent cx="4643120" cy="2310130"/>
            <wp:effectExtent l="4445" t="4445" r="19685" b="952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w:t>
      </w:r>
    </w:p>
    <w:p>
      <w:pPr>
        <w:pStyle w:val="23"/>
        <w:rPr>
          <w:rFonts w:hint="eastAsia" w:ascii="仿宋" w:hAnsi="仿宋" w:eastAsia="仿宋"/>
          <w:color w:val="000000"/>
          <w:sz w:val="32"/>
          <w:szCs w:val="32"/>
        </w:rPr>
      </w:pPr>
    </w:p>
    <w:p>
      <w:pPr>
        <w:pStyle w:val="23"/>
        <w:rPr>
          <w:rFonts w:hint="eastAsia"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67" w:name="_Toc79163617"/>
      <w:bookmarkStart w:id="68" w:name="_Toc15377212"/>
      <w:bookmarkStart w:id="69" w:name="_Toc951"/>
      <w:r>
        <w:rPr>
          <w:rFonts w:hint="eastAsia" w:ascii="仿宋" w:hAnsi="仿宋" w:eastAsia="仿宋"/>
          <w:b/>
          <w:color w:val="000000"/>
          <w:sz w:val="32"/>
          <w:szCs w:val="32"/>
        </w:rPr>
        <w:t>（三）一般公共预算财政拨款支出决算具体情况</w:t>
      </w:r>
      <w:bookmarkEnd w:id="67"/>
      <w:bookmarkEnd w:id="68"/>
      <w:bookmarkEnd w:id="69"/>
    </w:p>
    <w:p>
      <w:pPr>
        <w:spacing w:line="600" w:lineRule="exact"/>
        <w:ind w:firstLine="643" w:firstLineChars="200"/>
        <w:rPr>
          <w:rFonts w:ascii="仿宋_GB2312" w:eastAsia="仿宋_GB2312"/>
          <w:b/>
          <w:bCs/>
          <w:sz w:val="32"/>
          <w:szCs w:val="32"/>
        </w:rPr>
      </w:pPr>
      <w:bookmarkStart w:id="70" w:name="_Toc15377444"/>
      <w:bookmarkStart w:id="71" w:name="_Toc15378460"/>
      <w:bookmarkStart w:id="72" w:name="_Toc15377213"/>
      <w:r>
        <w:rPr>
          <w:rFonts w:ascii="仿宋_GB2312" w:eastAsia="仿宋_GB2312"/>
          <w:b/>
          <w:bCs/>
          <w:sz w:val="32"/>
          <w:szCs w:val="32"/>
        </w:rPr>
        <w:t>202</w:t>
      </w:r>
      <w:r>
        <w:rPr>
          <w:rFonts w:hint="eastAsia" w:ascii="仿宋_GB2312" w:eastAsia="仿宋_GB2312"/>
          <w:b/>
          <w:bCs/>
          <w:sz w:val="32"/>
          <w:szCs w:val="32"/>
        </w:rPr>
        <w:t>1年一般公共预算支出决算数为854.83，完成预算</w:t>
      </w:r>
      <w:r>
        <w:rPr>
          <w:rFonts w:hint="eastAsia" w:ascii="仿宋_GB2312" w:eastAsia="仿宋_GB2312"/>
          <w:b/>
          <w:bCs/>
          <w:sz w:val="32"/>
          <w:szCs w:val="32"/>
          <w:lang w:val="en-US" w:eastAsia="zh-CN"/>
        </w:rPr>
        <w:t>100</w:t>
      </w:r>
      <w:r>
        <w:rPr>
          <w:rFonts w:ascii="仿宋_GB2312" w:eastAsia="仿宋_GB2312"/>
          <w:b/>
          <w:bCs/>
          <w:sz w:val="32"/>
          <w:szCs w:val="32"/>
        </w:rPr>
        <w:t>%</w:t>
      </w:r>
      <w:r>
        <w:rPr>
          <w:rFonts w:hint="eastAsia" w:ascii="仿宋_GB2312" w:eastAsia="仿宋_GB2312"/>
          <w:b/>
          <w:bCs/>
          <w:sz w:val="32"/>
          <w:szCs w:val="32"/>
        </w:rPr>
        <w:t>。其中：</w:t>
      </w:r>
      <w:bookmarkEnd w:id="70"/>
      <w:bookmarkEnd w:id="71"/>
      <w:bookmarkEnd w:id="72"/>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b/>
          <w:color w:val="000000"/>
          <w:sz w:val="32"/>
          <w:szCs w:val="32"/>
        </w:rPr>
      </w:pPr>
      <w:r>
        <w:rPr>
          <w:rStyle w:val="21"/>
          <w:rFonts w:ascii="仿宋" w:hAnsi="仿宋" w:eastAsia="仿宋"/>
          <w:bCs/>
          <w:color w:val="000000"/>
          <w:sz w:val="32"/>
          <w:szCs w:val="32"/>
        </w:rPr>
        <w:t>1.</w:t>
      </w:r>
      <w:r>
        <w:rPr>
          <w:rStyle w:val="21"/>
          <w:rFonts w:hint="eastAsia" w:ascii="仿宋" w:hAnsi="仿宋" w:eastAsia="仿宋"/>
          <w:bCs/>
          <w:color w:val="000000"/>
          <w:sz w:val="32"/>
          <w:szCs w:val="32"/>
        </w:rPr>
        <w:t>公共安全支出（类）检察（款）行政运行（项）</w:t>
      </w:r>
      <w:r>
        <w:rPr>
          <w:rStyle w:val="21"/>
          <w:rFonts w:ascii="仿宋" w:hAnsi="仿宋" w:eastAsia="仿宋"/>
          <w:bCs/>
          <w:color w:val="000000"/>
          <w:sz w:val="32"/>
          <w:szCs w:val="32"/>
        </w:rPr>
        <w:t>:</w:t>
      </w:r>
      <w:r>
        <w:rPr>
          <w:rStyle w:val="21"/>
          <w:rFonts w:ascii="仿宋" w:hAnsi="仿宋" w:eastAsia="仿宋"/>
          <w:b w:val="0"/>
          <w:bCs/>
          <w:color w:val="000000"/>
          <w:sz w:val="32"/>
          <w:szCs w:val="32"/>
        </w:rPr>
        <w:t xml:space="preserve"> </w:t>
      </w:r>
      <w:r>
        <w:rPr>
          <w:rStyle w:val="21"/>
          <w:rFonts w:hint="eastAsia" w:ascii="仿宋" w:hAnsi="仿宋" w:eastAsia="仿宋"/>
          <w:b w:val="0"/>
          <w:bCs/>
          <w:color w:val="000000"/>
          <w:sz w:val="32"/>
          <w:szCs w:val="32"/>
        </w:rPr>
        <w:t>支出决算为504.4万元，完成预算</w:t>
      </w:r>
      <w:r>
        <w:rPr>
          <w:rStyle w:val="21"/>
          <w:rFonts w:hint="eastAsia" w:ascii="仿宋" w:hAnsi="仿宋" w:eastAsia="仿宋"/>
          <w:b w:val="0"/>
          <w:bCs/>
          <w:color w:val="000000"/>
          <w:sz w:val="32"/>
          <w:szCs w:val="32"/>
          <w:lang w:val="en-US" w:eastAsia="zh-CN"/>
        </w:rPr>
        <w:t>100</w:t>
      </w:r>
      <w:r>
        <w:rPr>
          <w:rStyle w:val="21"/>
          <w:rFonts w:ascii="仿宋" w:hAnsi="仿宋" w:eastAsia="仿宋"/>
          <w:b w:val="0"/>
          <w:bCs/>
          <w:color w:val="000000"/>
          <w:sz w:val="32"/>
          <w:szCs w:val="32"/>
        </w:rPr>
        <w:t>%</w:t>
      </w:r>
      <w:r>
        <w:rPr>
          <w:rStyle w:val="21"/>
          <w:rFonts w:hint="eastAsia" w:ascii="仿宋" w:hAnsi="仿宋" w:eastAsia="仿宋"/>
          <w:b w:val="0"/>
          <w:bCs/>
          <w:color w:val="000000"/>
          <w:sz w:val="32"/>
          <w:szCs w:val="32"/>
        </w:rPr>
        <w:t>，决算数等于预算数。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b/>
          <w:color w:val="000000"/>
          <w:sz w:val="32"/>
          <w:szCs w:val="32"/>
        </w:rPr>
      </w:pPr>
      <w:r>
        <w:rPr>
          <w:rStyle w:val="21"/>
          <w:rFonts w:hint="eastAsia" w:ascii="仿宋" w:hAnsi="仿宋" w:eastAsia="仿宋"/>
          <w:bCs/>
          <w:color w:val="000000"/>
          <w:sz w:val="32"/>
          <w:szCs w:val="32"/>
          <w:lang w:val="en-US" w:eastAsia="zh-CN"/>
        </w:rPr>
        <w:t>2</w:t>
      </w:r>
      <w:r>
        <w:rPr>
          <w:rStyle w:val="21"/>
          <w:rFonts w:ascii="仿宋" w:hAnsi="仿宋" w:eastAsia="仿宋"/>
          <w:bCs/>
          <w:color w:val="000000"/>
          <w:sz w:val="32"/>
          <w:szCs w:val="32"/>
        </w:rPr>
        <w:t>.</w:t>
      </w:r>
      <w:r>
        <w:rPr>
          <w:rStyle w:val="21"/>
          <w:rFonts w:hint="eastAsia" w:ascii="仿宋" w:hAnsi="仿宋" w:eastAsia="仿宋"/>
          <w:bCs/>
          <w:color w:val="000000"/>
          <w:sz w:val="32"/>
          <w:szCs w:val="32"/>
        </w:rPr>
        <w:t>公共安全支出（类）检察（款）一般行政管理事务（项）</w:t>
      </w:r>
      <w:r>
        <w:rPr>
          <w:rStyle w:val="21"/>
          <w:rFonts w:ascii="仿宋" w:hAnsi="仿宋" w:eastAsia="仿宋"/>
          <w:bCs/>
          <w:color w:val="000000"/>
          <w:sz w:val="32"/>
          <w:szCs w:val="32"/>
        </w:rPr>
        <w:t>:</w:t>
      </w:r>
      <w:r>
        <w:rPr>
          <w:rStyle w:val="21"/>
          <w:rFonts w:ascii="仿宋" w:hAnsi="仿宋" w:eastAsia="仿宋"/>
          <w:b w:val="0"/>
          <w:bCs/>
          <w:color w:val="000000"/>
          <w:sz w:val="32"/>
          <w:szCs w:val="32"/>
        </w:rPr>
        <w:t xml:space="preserve"> </w:t>
      </w:r>
      <w:r>
        <w:rPr>
          <w:rStyle w:val="21"/>
          <w:rFonts w:hint="eastAsia" w:ascii="仿宋" w:hAnsi="仿宋" w:eastAsia="仿宋"/>
          <w:b w:val="0"/>
          <w:bCs/>
          <w:color w:val="000000"/>
          <w:sz w:val="32"/>
          <w:szCs w:val="32"/>
        </w:rPr>
        <w:t>支出决算为504.4万元，完成预算</w:t>
      </w:r>
      <w:r>
        <w:rPr>
          <w:rStyle w:val="21"/>
          <w:rFonts w:hint="eastAsia" w:ascii="仿宋" w:hAnsi="仿宋" w:eastAsia="仿宋"/>
          <w:b w:val="0"/>
          <w:bCs/>
          <w:color w:val="000000"/>
          <w:sz w:val="32"/>
          <w:szCs w:val="32"/>
          <w:lang w:val="en-US" w:eastAsia="zh-CN"/>
        </w:rPr>
        <w:t>100</w:t>
      </w:r>
      <w:r>
        <w:rPr>
          <w:rStyle w:val="21"/>
          <w:rFonts w:ascii="仿宋" w:hAnsi="仿宋" w:eastAsia="仿宋"/>
          <w:b w:val="0"/>
          <w:bCs/>
          <w:color w:val="000000"/>
          <w:sz w:val="32"/>
          <w:szCs w:val="32"/>
        </w:rPr>
        <w:t>%</w:t>
      </w:r>
      <w:r>
        <w:rPr>
          <w:rStyle w:val="21"/>
          <w:rFonts w:hint="eastAsia" w:ascii="仿宋" w:hAnsi="仿宋" w:eastAsia="仿宋"/>
          <w:b w:val="0"/>
          <w:bCs/>
          <w:color w:val="000000"/>
          <w:sz w:val="32"/>
          <w:szCs w:val="32"/>
        </w:rPr>
        <w:t>，决算数等于预算数。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b/>
          <w:color w:val="000000"/>
          <w:sz w:val="32"/>
          <w:szCs w:val="32"/>
        </w:rPr>
      </w:pPr>
      <w:r>
        <w:rPr>
          <w:rStyle w:val="21"/>
          <w:rFonts w:ascii="仿宋" w:hAnsi="仿宋" w:eastAsia="仿宋"/>
          <w:bCs/>
          <w:color w:val="000000"/>
          <w:sz w:val="32"/>
          <w:szCs w:val="32"/>
        </w:rPr>
        <w:t>3.</w:t>
      </w:r>
      <w:r>
        <w:rPr>
          <w:rStyle w:val="21"/>
          <w:rFonts w:hint="eastAsia" w:ascii="仿宋" w:hAnsi="仿宋" w:eastAsia="仿宋"/>
          <w:bCs/>
          <w:color w:val="000000"/>
          <w:sz w:val="32"/>
          <w:szCs w:val="32"/>
        </w:rPr>
        <w:t>公共安全支出（类）检察（款）其他检察支出（项）</w:t>
      </w:r>
      <w:r>
        <w:rPr>
          <w:rStyle w:val="21"/>
          <w:rFonts w:ascii="仿宋" w:hAnsi="仿宋" w:eastAsia="仿宋"/>
          <w:bCs/>
          <w:color w:val="000000"/>
          <w:sz w:val="32"/>
          <w:szCs w:val="32"/>
        </w:rPr>
        <w:t>:</w:t>
      </w:r>
      <w:r>
        <w:rPr>
          <w:rStyle w:val="21"/>
          <w:rFonts w:ascii="仿宋" w:hAnsi="仿宋" w:eastAsia="仿宋"/>
          <w:b w:val="0"/>
          <w:bCs/>
          <w:color w:val="000000"/>
          <w:sz w:val="32"/>
          <w:szCs w:val="32"/>
        </w:rPr>
        <w:t xml:space="preserve"> </w:t>
      </w:r>
      <w:r>
        <w:rPr>
          <w:rStyle w:val="21"/>
          <w:rFonts w:hint="eastAsia" w:ascii="仿宋" w:hAnsi="仿宋" w:eastAsia="仿宋"/>
          <w:b w:val="0"/>
          <w:bCs/>
          <w:color w:val="000000"/>
          <w:sz w:val="32"/>
          <w:szCs w:val="32"/>
        </w:rPr>
        <w:t>支出决算为25.35万元，完成预算</w:t>
      </w:r>
      <w:r>
        <w:rPr>
          <w:rStyle w:val="21"/>
          <w:rFonts w:hint="eastAsia" w:ascii="仿宋" w:hAnsi="仿宋" w:eastAsia="仿宋"/>
          <w:b w:val="0"/>
          <w:bCs/>
          <w:color w:val="000000"/>
          <w:sz w:val="32"/>
          <w:szCs w:val="32"/>
          <w:lang w:val="en-US" w:eastAsia="zh-CN"/>
        </w:rPr>
        <w:t>100</w:t>
      </w:r>
      <w:r>
        <w:rPr>
          <w:rStyle w:val="21"/>
          <w:rFonts w:ascii="仿宋" w:hAnsi="仿宋" w:eastAsia="仿宋"/>
          <w:b w:val="0"/>
          <w:bCs/>
          <w:color w:val="000000"/>
          <w:sz w:val="32"/>
          <w:szCs w:val="32"/>
        </w:rPr>
        <w:t>%</w:t>
      </w:r>
      <w:r>
        <w:rPr>
          <w:rStyle w:val="21"/>
          <w:rFonts w:hint="eastAsia" w:ascii="仿宋" w:hAnsi="仿宋" w:eastAsia="仿宋"/>
          <w:b w:val="0"/>
          <w:bCs/>
          <w:color w:val="000000"/>
          <w:sz w:val="32"/>
          <w:szCs w:val="32"/>
        </w:rPr>
        <w:t>，决算数等于预算数。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b/>
          <w:color w:val="000000"/>
          <w:sz w:val="32"/>
          <w:szCs w:val="32"/>
        </w:rPr>
      </w:pPr>
      <w:r>
        <w:rPr>
          <w:rStyle w:val="21"/>
          <w:rFonts w:ascii="仿宋" w:hAnsi="仿宋" w:eastAsia="仿宋"/>
          <w:bCs/>
          <w:color w:val="000000"/>
          <w:sz w:val="32"/>
          <w:szCs w:val="32"/>
        </w:rPr>
        <w:t>4.</w:t>
      </w:r>
      <w:r>
        <w:rPr>
          <w:rStyle w:val="21"/>
          <w:rFonts w:hint="eastAsia" w:ascii="仿宋" w:hAnsi="仿宋" w:eastAsia="仿宋"/>
          <w:bCs/>
          <w:color w:val="000000"/>
          <w:sz w:val="32"/>
          <w:szCs w:val="32"/>
        </w:rPr>
        <w:t>公共安全支出（类）其他公共安全支出（款）国家司法救助支出（项）</w:t>
      </w:r>
      <w:r>
        <w:rPr>
          <w:rStyle w:val="21"/>
          <w:rFonts w:ascii="仿宋" w:hAnsi="仿宋" w:eastAsia="仿宋"/>
          <w:bCs/>
          <w:color w:val="000000"/>
          <w:sz w:val="32"/>
          <w:szCs w:val="32"/>
        </w:rPr>
        <w:t>:</w:t>
      </w:r>
      <w:r>
        <w:rPr>
          <w:rStyle w:val="21"/>
          <w:rFonts w:ascii="仿宋" w:hAnsi="仿宋" w:eastAsia="仿宋"/>
          <w:b w:val="0"/>
          <w:bCs/>
          <w:color w:val="000000"/>
          <w:sz w:val="32"/>
          <w:szCs w:val="32"/>
        </w:rPr>
        <w:t xml:space="preserve"> </w:t>
      </w:r>
      <w:r>
        <w:rPr>
          <w:rStyle w:val="21"/>
          <w:rFonts w:hint="eastAsia" w:ascii="仿宋" w:hAnsi="仿宋" w:eastAsia="仿宋"/>
          <w:b w:val="0"/>
          <w:bCs/>
          <w:color w:val="000000"/>
          <w:sz w:val="32"/>
          <w:szCs w:val="32"/>
        </w:rPr>
        <w:t>支出决算为1.2万元，完成预算</w:t>
      </w:r>
      <w:r>
        <w:rPr>
          <w:rStyle w:val="21"/>
          <w:rFonts w:hint="eastAsia" w:ascii="仿宋" w:hAnsi="仿宋" w:eastAsia="仿宋"/>
          <w:b w:val="0"/>
          <w:bCs/>
          <w:color w:val="000000"/>
          <w:sz w:val="32"/>
          <w:szCs w:val="32"/>
          <w:lang w:val="en-US" w:eastAsia="zh-CN"/>
        </w:rPr>
        <w:t>100.00</w:t>
      </w:r>
      <w:r>
        <w:rPr>
          <w:rStyle w:val="21"/>
          <w:rFonts w:ascii="仿宋" w:hAnsi="仿宋" w:eastAsia="仿宋"/>
          <w:b w:val="0"/>
          <w:bCs/>
          <w:color w:val="000000"/>
          <w:sz w:val="32"/>
          <w:szCs w:val="32"/>
        </w:rPr>
        <w:t>%</w:t>
      </w:r>
      <w:r>
        <w:rPr>
          <w:rStyle w:val="21"/>
          <w:rFonts w:hint="eastAsia" w:ascii="仿宋" w:hAnsi="仿宋" w:eastAsia="仿宋"/>
          <w:b w:val="0"/>
          <w:bCs/>
          <w:color w:val="000000"/>
          <w:sz w:val="32"/>
          <w:szCs w:val="32"/>
        </w:rPr>
        <w:t>，决算数等于预算数。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Style w:val="21"/>
          <w:rFonts w:hint="eastAsia" w:ascii="仿宋" w:hAnsi="仿宋" w:eastAsia="仿宋"/>
          <w:b w:val="0"/>
          <w:bCs/>
          <w:color w:val="000000"/>
          <w:sz w:val="32"/>
          <w:szCs w:val="32"/>
        </w:rPr>
      </w:pPr>
      <w:r>
        <w:rPr>
          <w:rStyle w:val="21"/>
          <w:rFonts w:ascii="仿宋" w:hAnsi="仿宋" w:eastAsia="仿宋"/>
          <w:bCs/>
          <w:color w:val="000000"/>
          <w:sz w:val="32"/>
          <w:szCs w:val="32"/>
        </w:rPr>
        <w:t>5.</w:t>
      </w:r>
      <w:r>
        <w:rPr>
          <w:rStyle w:val="21"/>
          <w:rFonts w:hint="eastAsia" w:ascii="仿宋" w:hAnsi="仿宋" w:eastAsia="仿宋"/>
          <w:bCs/>
          <w:color w:val="000000"/>
          <w:sz w:val="32"/>
          <w:szCs w:val="32"/>
        </w:rPr>
        <w:t>社会保障和就业（类）行政事业单位养老支出（款）机关事业单位基本养老保险缴费支出（项）</w:t>
      </w:r>
      <w:r>
        <w:rPr>
          <w:rStyle w:val="21"/>
          <w:rFonts w:ascii="仿宋" w:hAnsi="仿宋" w:eastAsia="仿宋"/>
          <w:bCs/>
          <w:color w:val="000000"/>
          <w:sz w:val="32"/>
          <w:szCs w:val="32"/>
        </w:rPr>
        <w:t>:</w:t>
      </w:r>
      <w:r>
        <w:rPr>
          <w:rStyle w:val="21"/>
          <w:rFonts w:ascii="仿宋" w:hAnsi="仿宋" w:eastAsia="仿宋"/>
          <w:b w:val="0"/>
          <w:bCs/>
          <w:color w:val="000000"/>
          <w:sz w:val="32"/>
          <w:szCs w:val="32"/>
        </w:rPr>
        <w:t xml:space="preserve"> </w:t>
      </w:r>
      <w:r>
        <w:rPr>
          <w:rStyle w:val="21"/>
          <w:rFonts w:hint="eastAsia" w:ascii="仿宋" w:hAnsi="仿宋" w:eastAsia="仿宋"/>
          <w:b w:val="0"/>
          <w:bCs/>
          <w:color w:val="000000"/>
          <w:sz w:val="32"/>
          <w:szCs w:val="32"/>
        </w:rPr>
        <w:t>支出决算为36.09万元，完成预算</w:t>
      </w:r>
      <w:r>
        <w:rPr>
          <w:rStyle w:val="21"/>
          <w:rFonts w:hint="eastAsia" w:ascii="仿宋" w:hAnsi="仿宋" w:eastAsia="仿宋"/>
          <w:b w:val="0"/>
          <w:bCs/>
          <w:color w:val="000000"/>
          <w:sz w:val="32"/>
          <w:szCs w:val="32"/>
          <w:lang w:val="en-US" w:eastAsia="zh-CN"/>
        </w:rPr>
        <w:t>100</w:t>
      </w:r>
      <w:r>
        <w:rPr>
          <w:rStyle w:val="21"/>
          <w:rFonts w:ascii="仿宋" w:hAnsi="仿宋" w:eastAsia="仿宋"/>
          <w:b w:val="0"/>
          <w:bCs/>
          <w:color w:val="000000"/>
          <w:sz w:val="32"/>
          <w:szCs w:val="32"/>
        </w:rPr>
        <w:t>%</w:t>
      </w:r>
      <w:r>
        <w:rPr>
          <w:rStyle w:val="21"/>
          <w:rFonts w:hint="eastAsia" w:ascii="仿宋" w:hAnsi="仿宋" w:eastAsia="仿宋"/>
          <w:b w:val="0"/>
          <w:bCs/>
          <w:color w:val="000000"/>
          <w:sz w:val="32"/>
          <w:szCs w:val="32"/>
        </w:rPr>
        <w:t>，决算数等于预算数。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b/>
          <w:color w:val="000000"/>
          <w:sz w:val="32"/>
          <w:szCs w:val="32"/>
        </w:rPr>
      </w:pPr>
      <w:r>
        <w:rPr>
          <w:rStyle w:val="21"/>
          <w:rFonts w:hint="eastAsia" w:ascii="仿宋" w:hAnsi="仿宋" w:eastAsia="仿宋"/>
          <w:bCs/>
          <w:color w:val="000000"/>
          <w:sz w:val="32"/>
          <w:szCs w:val="32"/>
          <w:lang w:val="en-US" w:eastAsia="zh-CN"/>
        </w:rPr>
        <w:t>6</w:t>
      </w:r>
      <w:r>
        <w:rPr>
          <w:rStyle w:val="21"/>
          <w:rFonts w:ascii="仿宋" w:hAnsi="仿宋" w:eastAsia="仿宋"/>
          <w:bCs/>
          <w:color w:val="000000"/>
          <w:sz w:val="32"/>
          <w:szCs w:val="32"/>
        </w:rPr>
        <w:t>.</w:t>
      </w:r>
      <w:r>
        <w:rPr>
          <w:rStyle w:val="21"/>
          <w:rFonts w:hint="eastAsia" w:ascii="仿宋" w:hAnsi="仿宋" w:eastAsia="仿宋"/>
          <w:bCs/>
          <w:color w:val="000000"/>
          <w:sz w:val="32"/>
          <w:szCs w:val="32"/>
        </w:rPr>
        <w:t>社会保障和就业（类）行政事业单位养老支出（款）机关事业单位职业年金缴费支出（项）</w:t>
      </w:r>
      <w:r>
        <w:rPr>
          <w:rStyle w:val="21"/>
          <w:rFonts w:ascii="仿宋" w:hAnsi="仿宋" w:eastAsia="仿宋"/>
          <w:bCs/>
          <w:color w:val="000000"/>
          <w:sz w:val="32"/>
          <w:szCs w:val="32"/>
        </w:rPr>
        <w:t>:</w:t>
      </w:r>
      <w:r>
        <w:rPr>
          <w:rStyle w:val="21"/>
          <w:rFonts w:ascii="仿宋" w:hAnsi="仿宋" w:eastAsia="仿宋"/>
          <w:b w:val="0"/>
          <w:bCs/>
          <w:color w:val="000000"/>
          <w:sz w:val="32"/>
          <w:szCs w:val="32"/>
        </w:rPr>
        <w:t xml:space="preserve"> </w:t>
      </w:r>
      <w:r>
        <w:rPr>
          <w:rStyle w:val="21"/>
          <w:rFonts w:hint="eastAsia" w:ascii="仿宋" w:hAnsi="仿宋" w:eastAsia="仿宋"/>
          <w:b w:val="0"/>
          <w:bCs/>
          <w:color w:val="000000"/>
          <w:sz w:val="32"/>
          <w:szCs w:val="32"/>
        </w:rPr>
        <w:t>支出决算为17.54万元，完成预算</w:t>
      </w:r>
      <w:r>
        <w:rPr>
          <w:rStyle w:val="21"/>
          <w:rFonts w:hint="eastAsia" w:ascii="仿宋" w:hAnsi="仿宋" w:eastAsia="仿宋"/>
          <w:b w:val="0"/>
          <w:bCs/>
          <w:color w:val="000000"/>
          <w:sz w:val="32"/>
          <w:szCs w:val="32"/>
          <w:lang w:val="en-US" w:eastAsia="zh-CN"/>
        </w:rPr>
        <w:t>100</w:t>
      </w:r>
      <w:r>
        <w:rPr>
          <w:rStyle w:val="21"/>
          <w:rFonts w:ascii="仿宋" w:hAnsi="仿宋" w:eastAsia="仿宋"/>
          <w:b w:val="0"/>
          <w:bCs/>
          <w:color w:val="000000"/>
          <w:sz w:val="32"/>
          <w:szCs w:val="32"/>
        </w:rPr>
        <w:t>%</w:t>
      </w:r>
      <w:r>
        <w:rPr>
          <w:rStyle w:val="21"/>
          <w:rFonts w:hint="eastAsia" w:ascii="仿宋" w:hAnsi="仿宋" w:eastAsia="仿宋"/>
          <w:b w:val="0"/>
          <w:bCs/>
          <w:color w:val="000000"/>
          <w:sz w:val="32"/>
          <w:szCs w:val="32"/>
        </w:rPr>
        <w:t>，决算数等于预算数。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pPr>
      <w:r>
        <w:rPr>
          <w:rStyle w:val="21"/>
          <w:rFonts w:hint="eastAsia" w:ascii="仿宋" w:hAnsi="仿宋" w:eastAsia="仿宋"/>
          <w:bCs/>
          <w:color w:val="000000"/>
          <w:sz w:val="32"/>
          <w:szCs w:val="32"/>
          <w:lang w:val="en-US" w:eastAsia="zh-CN"/>
        </w:rPr>
        <w:t>7</w:t>
      </w:r>
      <w:r>
        <w:rPr>
          <w:rStyle w:val="21"/>
          <w:rFonts w:ascii="仿宋" w:hAnsi="仿宋" w:eastAsia="仿宋"/>
          <w:bCs/>
          <w:color w:val="000000"/>
          <w:sz w:val="32"/>
          <w:szCs w:val="32"/>
        </w:rPr>
        <w:t>.</w:t>
      </w:r>
      <w:r>
        <w:rPr>
          <w:rStyle w:val="21"/>
          <w:rFonts w:hint="eastAsia" w:ascii="仿宋" w:hAnsi="仿宋" w:eastAsia="仿宋"/>
          <w:bCs/>
          <w:color w:val="000000"/>
          <w:sz w:val="32"/>
          <w:szCs w:val="32"/>
        </w:rPr>
        <w:t>社会保障和就业（类）抚恤（款）死亡抚恤（项）</w:t>
      </w:r>
      <w:r>
        <w:rPr>
          <w:rStyle w:val="21"/>
          <w:rFonts w:ascii="仿宋" w:hAnsi="仿宋" w:eastAsia="仿宋"/>
          <w:bCs/>
          <w:color w:val="000000"/>
          <w:sz w:val="32"/>
          <w:szCs w:val="32"/>
        </w:rPr>
        <w:t>:</w:t>
      </w:r>
      <w:r>
        <w:rPr>
          <w:rStyle w:val="21"/>
          <w:rFonts w:ascii="仿宋" w:hAnsi="仿宋" w:eastAsia="仿宋"/>
          <w:b w:val="0"/>
          <w:bCs/>
          <w:color w:val="000000"/>
          <w:sz w:val="32"/>
          <w:szCs w:val="32"/>
        </w:rPr>
        <w:t xml:space="preserve"> </w:t>
      </w:r>
      <w:r>
        <w:rPr>
          <w:rStyle w:val="21"/>
          <w:rFonts w:hint="eastAsia" w:ascii="仿宋" w:hAnsi="仿宋" w:eastAsia="仿宋"/>
          <w:b w:val="0"/>
          <w:bCs/>
          <w:color w:val="000000"/>
          <w:sz w:val="32"/>
          <w:szCs w:val="32"/>
        </w:rPr>
        <w:t>支出决算为21.45万元，完成预算</w:t>
      </w:r>
      <w:r>
        <w:rPr>
          <w:rStyle w:val="21"/>
          <w:rFonts w:hint="eastAsia" w:ascii="仿宋" w:hAnsi="仿宋" w:eastAsia="仿宋"/>
          <w:b w:val="0"/>
          <w:bCs/>
          <w:color w:val="000000"/>
          <w:sz w:val="32"/>
          <w:szCs w:val="32"/>
          <w:lang w:val="en-US" w:eastAsia="zh-CN"/>
        </w:rPr>
        <w:t>100</w:t>
      </w:r>
      <w:r>
        <w:rPr>
          <w:rStyle w:val="21"/>
          <w:rFonts w:ascii="仿宋" w:hAnsi="仿宋" w:eastAsia="仿宋"/>
          <w:b w:val="0"/>
          <w:bCs/>
          <w:color w:val="000000"/>
          <w:sz w:val="32"/>
          <w:szCs w:val="32"/>
        </w:rPr>
        <w:t>%</w:t>
      </w:r>
      <w:r>
        <w:rPr>
          <w:rStyle w:val="21"/>
          <w:rFonts w:hint="eastAsia" w:ascii="仿宋" w:hAnsi="仿宋" w:eastAsia="仿宋"/>
          <w:b w:val="0"/>
          <w:bCs/>
          <w:color w:val="000000"/>
          <w:sz w:val="32"/>
          <w:szCs w:val="32"/>
        </w:rPr>
        <w:t>，决算数等于预算数。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b/>
          <w:color w:val="000000"/>
          <w:sz w:val="32"/>
          <w:szCs w:val="32"/>
        </w:rPr>
      </w:pPr>
      <w:r>
        <w:rPr>
          <w:rStyle w:val="21"/>
          <w:rFonts w:hint="eastAsia" w:ascii="仿宋" w:hAnsi="仿宋" w:eastAsia="仿宋"/>
          <w:bCs/>
          <w:color w:val="000000"/>
          <w:sz w:val="32"/>
          <w:szCs w:val="32"/>
          <w:lang w:val="en-US" w:eastAsia="zh-CN"/>
        </w:rPr>
        <w:t>8</w:t>
      </w:r>
      <w:r>
        <w:rPr>
          <w:rStyle w:val="21"/>
          <w:rFonts w:ascii="仿宋" w:hAnsi="仿宋" w:eastAsia="仿宋"/>
          <w:bCs/>
          <w:color w:val="000000"/>
          <w:sz w:val="32"/>
          <w:szCs w:val="32"/>
        </w:rPr>
        <w:t>.</w:t>
      </w:r>
      <w:r>
        <w:rPr>
          <w:rFonts w:hint="eastAsia" w:ascii="仿宋" w:hAnsi="仿宋" w:eastAsia="仿宋"/>
          <w:b/>
          <w:bCs/>
          <w:color w:val="000000"/>
          <w:sz w:val="32"/>
          <w:szCs w:val="32"/>
        </w:rPr>
        <w:t>卫生健康</w:t>
      </w:r>
      <w:r>
        <w:rPr>
          <w:rStyle w:val="21"/>
          <w:rFonts w:hint="eastAsia" w:ascii="仿宋" w:hAnsi="仿宋" w:eastAsia="仿宋"/>
          <w:bCs/>
          <w:color w:val="000000"/>
          <w:sz w:val="32"/>
          <w:szCs w:val="32"/>
        </w:rPr>
        <w:t>（类）行政事业单位医疗（款）行政单位医疗（项）</w:t>
      </w:r>
      <w:r>
        <w:rPr>
          <w:rStyle w:val="21"/>
          <w:rFonts w:ascii="仿宋" w:hAnsi="仿宋" w:eastAsia="仿宋"/>
          <w:bCs/>
          <w:color w:val="000000"/>
          <w:sz w:val="32"/>
          <w:szCs w:val="32"/>
        </w:rPr>
        <w:t>:</w:t>
      </w:r>
      <w:r>
        <w:rPr>
          <w:rStyle w:val="21"/>
          <w:rFonts w:hint="eastAsia" w:ascii="仿宋" w:hAnsi="仿宋" w:eastAsia="仿宋"/>
          <w:b w:val="0"/>
          <w:bCs/>
          <w:color w:val="000000"/>
          <w:sz w:val="32"/>
          <w:szCs w:val="32"/>
        </w:rPr>
        <w:t>支出决算为18.99万元，完成预算</w:t>
      </w:r>
      <w:r>
        <w:rPr>
          <w:rStyle w:val="21"/>
          <w:rFonts w:hint="eastAsia" w:ascii="仿宋" w:hAnsi="仿宋" w:eastAsia="仿宋"/>
          <w:b w:val="0"/>
          <w:bCs/>
          <w:color w:val="000000"/>
          <w:sz w:val="32"/>
          <w:szCs w:val="32"/>
          <w:lang w:val="en-US" w:eastAsia="zh-CN"/>
        </w:rPr>
        <w:t>100.00</w:t>
      </w:r>
      <w:r>
        <w:rPr>
          <w:rStyle w:val="21"/>
          <w:rFonts w:ascii="仿宋" w:hAnsi="仿宋" w:eastAsia="仿宋"/>
          <w:b w:val="0"/>
          <w:bCs/>
          <w:color w:val="000000"/>
          <w:sz w:val="32"/>
          <w:szCs w:val="32"/>
        </w:rPr>
        <w:t>%</w:t>
      </w:r>
      <w:r>
        <w:rPr>
          <w:rStyle w:val="21"/>
          <w:rFonts w:hint="eastAsia" w:ascii="仿宋" w:hAnsi="仿宋" w:eastAsia="仿宋"/>
          <w:b w:val="0"/>
          <w:bCs/>
          <w:color w:val="000000"/>
          <w:sz w:val="32"/>
          <w:szCs w:val="32"/>
        </w:rPr>
        <w:t>，决算数等于预算数。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Style w:val="21"/>
          <w:rFonts w:hint="eastAsia" w:ascii="仿宋" w:hAnsi="仿宋" w:eastAsia="仿宋"/>
          <w:b w:val="0"/>
          <w:bCs/>
          <w:color w:val="000000"/>
          <w:sz w:val="32"/>
          <w:szCs w:val="32"/>
        </w:rPr>
      </w:pPr>
      <w:r>
        <w:rPr>
          <w:rStyle w:val="21"/>
          <w:rFonts w:hint="eastAsia" w:ascii="仿宋" w:hAnsi="仿宋" w:eastAsia="仿宋"/>
          <w:bCs/>
          <w:color w:val="000000"/>
          <w:sz w:val="32"/>
          <w:szCs w:val="32"/>
          <w:lang w:val="en-US" w:eastAsia="zh-CN"/>
        </w:rPr>
        <w:t>9</w:t>
      </w:r>
      <w:r>
        <w:rPr>
          <w:rStyle w:val="21"/>
          <w:rFonts w:ascii="仿宋" w:hAnsi="仿宋" w:eastAsia="仿宋"/>
          <w:bCs/>
          <w:color w:val="000000"/>
          <w:sz w:val="32"/>
          <w:szCs w:val="32"/>
        </w:rPr>
        <w:t>.</w:t>
      </w:r>
      <w:r>
        <w:rPr>
          <w:rFonts w:hint="eastAsia" w:ascii="仿宋" w:hAnsi="仿宋" w:eastAsia="仿宋"/>
          <w:b/>
          <w:bCs/>
          <w:color w:val="000000"/>
          <w:sz w:val="32"/>
          <w:szCs w:val="32"/>
        </w:rPr>
        <w:t>卫生健康</w:t>
      </w:r>
      <w:r>
        <w:rPr>
          <w:rStyle w:val="21"/>
          <w:rFonts w:hint="eastAsia" w:ascii="仿宋" w:hAnsi="仿宋" w:eastAsia="仿宋"/>
          <w:bCs/>
          <w:color w:val="000000"/>
          <w:sz w:val="32"/>
          <w:szCs w:val="32"/>
        </w:rPr>
        <w:t>（类）行政事业单位医疗（款）公务员医疗补助（项）</w:t>
      </w:r>
      <w:r>
        <w:rPr>
          <w:rStyle w:val="21"/>
          <w:rFonts w:ascii="仿宋" w:hAnsi="仿宋" w:eastAsia="仿宋"/>
          <w:bCs/>
          <w:color w:val="000000"/>
          <w:sz w:val="32"/>
          <w:szCs w:val="32"/>
        </w:rPr>
        <w:t>:</w:t>
      </w:r>
      <w:r>
        <w:rPr>
          <w:rStyle w:val="21"/>
          <w:rFonts w:hint="eastAsia" w:ascii="仿宋" w:hAnsi="仿宋" w:eastAsia="仿宋"/>
          <w:b w:val="0"/>
          <w:bCs/>
          <w:color w:val="000000"/>
          <w:sz w:val="32"/>
          <w:szCs w:val="32"/>
        </w:rPr>
        <w:t>支出决算为5.27万元，完成预算</w:t>
      </w:r>
      <w:r>
        <w:rPr>
          <w:rStyle w:val="21"/>
          <w:rFonts w:hint="eastAsia" w:ascii="仿宋" w:hAnsi="仿宋" w:eastAsia="仿宋"/>
          <w:b w:val="0"/>
          <w:bCs/>
          <w:color w:val="000000"/>
          <w:sz w:val="32"/>
          <w:szCs w:val="32"/>
          <w:lang w:val="en-US" w:eastAsia="zh-CN"/>
        </w:rPr>
        <w:t>100.00</w:t>
      </w:r>
      <w:r>
        <w:rPr>
          <w:rStyle w:val="21"/>
          <w:rFonts w:ascii="仿宋" w:hAnsi="仿宋" w:eastAsia="仿宋"/>
          <w:b w:val="0"/>
          <w:bCs/>
          <w:color w:val="000000"/>
          <w:sz w:val="32"/>
          <w:szCs w:val="32"/>
        </w:rPr>
        <w:t>%</w:t>
      </w:r>
      <w:r>
        <w:rPr>
          <w:rStyle w:val="21"/>
          <w:rFonts w:hint="eastAsia" w:ascii="仿宋" w:hAnsi="仿宋" w:eastAsia="仿宋"/>
          <w:b w:val="0"/>
          <w:bCs/>
          <w:color w:val="000000"/>
          <w:sz w:val="32"/>
          <w:szCs w:val="32"/>
        </w:rPr>
        <w:t>，决算数等于预算数。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b/>
          <w:color w:val="000000"/>
          <w:sz w:val="32"/>
          <w:szCs w:val="32"/>
        </w:rPr>
      </w:pPr>
      <w:r>
        <w:rPr>
          <w:rStyle w:val="21"/>
          <w:rFonts w:hint="eastAsia" w:ascii="仿宋" w:hAnsi="仿宋" w:eastAsia="仿宋"/>
          <w:bCs/>
          <w:color w:val="000000"/>
          <w:sz w:val="32"/>
          <w:szCs w:val="32"/>
          <w:lang w:val="en-US" w:eastAsia="zh-CN"/>
        </w:rPr>
        <w:t>10</w:t>
      </w:r>
      <w:r>
        <w:rPr>
          <w:rStyle w:val="21"/>
          <w:rFonts w:ascii="仿宋" w:hAnsi="仿宋" w:eastAsia="仿宋"/>
          <w:bCs/>
          <w:color w:val="000000"/>
          <w:sz w:val="32"/>
          <w:szCs w:val="32"/>
        </w:rPr>
        <w:t>.</w:t>
      </w:r>
      <w:r>
        <w:rPr>
          <w:rFonts w:hint="eastAsia" w:ascii="仿宋" w:hAnsi="仿宋" w:eastAsia="仿宋"/>
          <w:b/>
          <w:bCs/>
          <w:color w:val="000000"/>
          <w:sz w:val="32"/>
          <w:szCs w:val="32"/>
        </w:rPr>
        <w:t>住房保障支出</w:t>
      </w:r>
      <w:r>
        <w:rPr>
          <w:rStyle w:val="21"/>
          <w:rFonts w:hint="eastAsia" w:ascii="仿宋" w:hAnsi="仿宋" w:eastAsia="仿宋"/>
          <w:bCs/>
          <w:color w:val="000000"/>
          <w:sz w:val="32"/>
          <w:szCs w:val="32"/>
        </w:rPr>
        <w:t>（类）住房改革支出（款）住房公积金（项）</w:t>
      </w:r>
      <w:r>
        <w:rPr>
          <w:rStyle w:val="21"/>
          <w:rFonts w:ascii="仿宋" w:hAnsi="仿宋" w:eastAsia="仿宋"/>
          <w:bCs/>
          <w:color w:val="000000"/>
          <w:sz w:val="32"/>
          <w:szCs w:val="32"/>
        </w:rPr>
        <w:t>:</w:t>
      </w:r>
      <w:r>
        <w:rPr>
          <w:rStyle w:val="21"/>
          <w:rFonts w:hint="eastAsia" w:ascii="仿宋" w:hAnsi="仿宋" w:eastAsia="仿宋"/>
          <w:b w:val="0"/>
          <w:bCs/>
          <w:color w:val="000000"/>
          <w:sz w:val="32"/>
          <w:szCs w:val="32"/>
        </w:rPr>
        <w:t>支出决算为41.02万元，完成预算</w:t>
      </w:r>
      <w:r>
        <w:rPr>
          <w:rStyle w:val="21"/>
          <w:rFonts w:hint="eastAsia" w:ascii="仿宋" w:hAnsi="仿宋" w:eastAsia="仿宋"/>
          <w:b w:val="0"/>
          <w:bCs/>
          <w:color w:val="000000"/>
          <w:sz w:val="32"/>
          <w:szCs w:val="32"/>
          <w:lang w:val="en-US" w:eastAsia="zh-CN"/>
        </w:rPr>
        <w:t>100.00</w:t>
      </w:r>
      <w:r>
        <w:rPr>
          <w:rStyle w:val="21"/>
          <w:rFonts w:ascii="仿宋" w:hAnsi="仿宋" w:eastAsia="仿宋"/>
          <w:b w:val="0"/>
          <w:bCs/>
          <w:color w:val="000000"/>
          <w:sz w:val="32"/>
          <w:szCs w:val="32"/>
        </w:rPr>
        <w:t>%</w:t>
      </w:r>
      <w:r>
        <w:rPr>
          <w:rStyle w:val="21"/>
          <w:rFonts w:hint="eastAsia" w:ascii="仿宋" w:hAnsi="仿宋" w:eastAsia="仿宋"/>
          <w:b w:val="0"/>
          <w:bCs/>
          <w:color w:val="000000"/>
          <w:sz w:val="32"/>
          <w:szCs w:val="32"/>
        </w:rPr>
        <w:t>，决算数等于预算数。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b/>
          <w:color w:val="000000"/>
          <w:sz w:val="32"/>
          <w:szCs w:val="32"/>
        </w:rPr>
      </w:pPr>
      <w:r>
        <w:rPr>
          <w:rStyle w:val="21"/>
          <w:rFonts w:hint="eastAsia" w:ascii="仿宋" w:hAnsi="仿宋" w:eastAsia="仿宋"/>
          <w:bCs/>
          <w:color w:val="000000"/>
          <w:sz w:val="32"/>
          <w:szCs w:val="32"/>
          <w:lang w:val="en-US" w:eastAsia="zh-CN"/>
        </w:rPr>
        <w:t>11</w:t>
      </w:r>
      <w:r>
        <w:rPr>
          <w:rStyle w:val="21"/>
          <w:rFonts w:ascii="仿宋" w:hAnsi="仿宋" w:eastAsia="仿宋"/>
          <w:bCs/>
          <w:color w:val="000000"/>
          <w:sz w:val="32"/>
          <w:szCs w:val="32"/>
        </w:rPr>
        <w:t>.</w:t>
      </w:r>
      <w:r>
        <w:rPr>
          <w:rFonts w:hint="eastAsia" w:ascii="仿宋" w:hAnsi="仿宋" w:eastAsia="仿宋"/>
          <w:b/>
          <w:bCs/>
          <w:color w:val="000000"/>
          <w:sz w:val="32"/>
          <w:szCs w:val="32"/>
        </w:rPr>
        <w:t>住房保障支出</w:t>
      </w:r>
      <w:r>
        <w:rPr>
          <w:rStyle w:val="21"/>
          <w:rFonts w:hint="eastAsia" w:ascii="仿宋" w:hAnsi="仿宋" w:eastAsia="仿宋"/>
          <w:bCs/>
          <w:color w:val="000000"/>
          <w:sz w:val="32"/>
          <w:szCs w:val="32"/>
        </w:rPr>
        <w:t>（类）住房改革支出（款）购房补贴（项）</w:t>
      </w:r>
      <w:r>
        <w:rPr>
          <w:rStyle w:val="21"/>
          <w:rFonts w:ascii="仿宋" w:hAnsi="仿宋" w:eastAsia="仿宋"/>
          <w:bCs/>
          <w:color w:val="000000"/>
          <w:sz w:val="32"/>
          <w:szCs w:val="32"/>
        </w:rPr>
        <w:t>:</w:t>
      </w:r>
      <w:r>
        <w:rPr>
          <w:rStyle w:val="21"/>
          <w:rFonts w:hint="eastAsia" w:ascii="仿宋" w:hAnsi="仿宋" w:eastAsia="仿宋"/>
          <w:b w:val="0"/>
          <w:bCs/>
          <w:color w:val="000000"/>
          <w:sz w:val="32"/>
          <w:szCs w:val="32"/>
        </w:rPr>
        <w:t>支出决算为1.32万元，完成预算</w:t>
      </w:r>
      <w:r>
        <w:rPr>
          <w:rStyle w:val="21"/>
          <w:rFonts w:hint="eastAsia" w:ascii="仿宋" w:hAnsi="仿宋" w:eastAsia="仿宋"/>
          <w:b w:val="0"/>
          <w:bCs/>
          <w:color w:val="000000"/>
          <w:sz w:val="32"/>
          <w:szCs w:val="32"/>
          <w:lang w:val="en-US" w:eastAsia="zh-CN"/>
        </w:rPr>
        <w:t>100.00</w:t>
      </w:r>
      <w:r>
        <w:rPr>
          <w:rStyle w:val="21"/>
          <w:rFonts w:ascii="仿宋" w:hAnsi="仿宋" w:eastAsia="仿宋"/>
          <w:b w:val="0"/>
          <w:bCs/>
          <w:color w:val="000000"/>
          <w:sz w:val="32"/>
          <w:szCs w:val="32"/>
        </w:rPr>
        <w:t>%</w:t>
      </w:r>
      <w:r>
        <w:rPr>
          <w:rStyle w:val="21"/>
          <w:rFonts w:hint="eastAsia" w:ascii="仿宋" w:hAnsi="仿宋" w:eastAsia="仿宋"/>
          <w:b w:val="0"/>
          <w:bCs/>
          <w:color w:val="000000"/>
          <w:sz w:val="32"/>
          <w:szCs w:val="32"/>
        </w:rPr>
        <w:t>，决算数等于预算数。</w:t>
      </w:r>
    </w:p>
    <w:p>
      <w:pPr>
        <w:spacing w:line="600" w:lineRule="exact"/>
        <w:rPr>
          <w:rFonts w:ascii="仿宋" w:hAnsi="仿宋" w:eastAsia="仿宋"/>
          <w:b/>
          <w:color w:val="000000"/>
          <w:sz w:val="32"/>
          <w:szCs w:val="32"/>
        </w:rPr>
      </w:pPr>
    </w:p>
    <w:p>
      <w:pPr>
        <w:tabs>
          <w:tab w:val="right" w:pos="8306"/>
        </w:tabs>
        <w:spacing w:line="600" w:lineRule="exact"/>
        <w:ind w:firstLine="640"/>
        <w:outlineLvl w:val="1"/>
        <w:rPr>
          <w:rStyle w:val="25"/>
        </w:rPr>
      </w:pPr>
      <w:bookmarkStart w:id="73" w:name="_Toc15396608"/>
      <w:bookmarkStart w:id="74" w:name="_Toc15377214"/>
      <w:bookmarkStart w:id="75" w:name="_Toc5314"/>
      <w:bookmarkStart w:id="76" w:name="_Toc7916361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73"/>
      <w:bookmarkEnd w:id="74"/>
      <w:bookmarkEnd w:id="75"/>
      <w:bookmarkEnd w:id="76"/>
      <w:r>
        <w:rPr>
          <w:rStyle w:val="25"/>
          <w:rFonts w:ascii="黑体" w:hAnsi="黑体" w:eastAsia="黑体"/>
          <w:b w:val="0"/>
        </w:rPr>
        <w:tab/>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napToGrid w:val="0"/>
          <w:color w:val="000000"/>
          <w:spacing w:val="0"/>
          <w:w w:val="100"/>
          <w:kern w:val="0"/>
          <w:sz w:val="32"/>
          <w:szCs w:val="32"/>
          <w:lang w:val="en-US" w:eastAsia="zh-CN" w:bidi="ar-SA"/>
        </w:rPr>
      </w:pPr>
      <w:r>
        <w:rPr>
          <w:rFonts w:hint="eastAsia" w:ascii="仿宋_GB2312" w:hAnsi="仿宋_GB2312" w:eastAsia="仿宋_GB2312" w:cs="仿宋_GB2312"/>
          <w:snapToGrid w:val="0"/>
          <w:color w:val="000000"/>
          <w:spacing w:val="0"/>
          <w:w w:val="100"/>
          <w:kern w:val="0"/>
          <w:sz w:val="32"/>
          <w:szCs w:val="32"/>
          <w:lang w:val="en-US" w:eastAsia="zh-CN" w:bidi="ar-SA"/>
        </w:rPr>
        <w:t>2021年一般公共预算财政拨款基本支出624.63万元，其中：</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napToGrid w:val="0"/>
          <w:color w:val="000000"/>
          <w:spacing w:val="0"/>
          <w:w w:val="100"/>
          <w:kern w:val="0"/>
          <w:sz w:val="32"/>
          <w:szCs w:val="32"/>
          <w:lang w:val="en-US" w:eastAsia="zh-CN" w:bidi="ar-SA"/>
        </w:rPr>
      </w:pPr>
      <w:r>
        <w:rPr>
          <w:rFonts w:hint="eastAsia" w:ascii="仿宋_GB2312" w:hAnsi="仿宋_GB2312" w:eastAsia="仿宋_GB2312" w:cs="仿宋_GB2312"/>
          <w:snapToGrid w:val="0"/>
          <w:color w:val="000000"/>
          <w:spacing w:val="0"/>
          <w:w w:val="100"/>
          <w:kern w:val="0"/>
          <w:sz w:val="32"/>
          <w:szCs w:val="32"/>
          <w:lang w:val="en-US" w:eastAsia="zh-CN" w:bidi="ar-SA"/>
        </w:rPr>
        <w:t>人员经费586.74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napToGrid w:val="0"/>
          <w:color w:val="000000"/>
          <w:spacing w:val="0"/>
          <w:w w:val="100"/>
          <w:kern w:val="0"/>
          <w:sz w:val="32"/>
          <w:szCs w:val="32"/>
          <w:lang w:val="en-US" w:eastAsia="zh-CN" w:bidi="ar-SA"/>
        </w:rPr>
      </w:pPr>
      <w:r>
        <w:rPr>
          <w:rFonts w:hint="eastAsia" w:ascii="仿宋_GB2312" w:hAnsi="仿宋_GB2312" w:eastAsia="仿宋_GB2312" w:cs="仿宋_GB2312"/>
          <w:snapToGrid w:val="0"/>
          <w:color w:val="000000"/>
          <w:spacing w:val="0"/>
          <w:w w:val="100"/>
          <w:kern w:val="0"/>
          <w:sz w:val="32"/>
          <w:szCs w:val="32"/>
          <w:lang w:val="en-US" w:eastAsia="zh-CN" w:bidi="ar-SA"/>
        </w:rPr>
        <w:t>日常公用经费37.88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rPr>
      </w:pPr>
      <w:bookmarkStart w:id="77" w:name="_Toc18365"/>
      <w:bookmarkStart w:id="78" w:name="_Toc15396609"/>
      <w:bookmarkStart w:id="79" w:name="_Toc79163619"/>
      <w:bookmarkStart w:id="80"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77"/>
      <w:bookmarkEnd w:id="78"/>
      <w:bookmarkEnd w:id="79"/>
      <w:bookmarkEnd w:id="80"/>
    </w:p>
    <w:p>
      <w:pPr>
        <w:spacing w:line="600" w:lineRule="exact"/>
        <w:ind w:firstLine="640"/>
        <w:outlineLvl w:val="2"/>
        <w:rPr>
          <w:rFonts w:ascii="仿宋" w:hAnsi="仿宋" w:eastAsia="仿宋"/>
          <w:b/>
          <w:color w:val="000000"/>
          <w:sz w:val="32"/>
          <w:szCs w:val="32"/>
        </w:rPr>
      </w:pPr>
      <w:bookmarkStart w:id="81" w:name="_Toc79163620"/>
      <w:bookmarkStart w:id="82" w:name="_Toc3044"/>
      <w:bookmarkStart w:id="83" w:name="_Toc15377216"/>
      <w:r>
        <w:rPr>
          <w:rFonts w:hint="eastAsia" w:ascii="仿宋" w:hAnsi="仿宋" w:eastAsia="仿宋"/>
          <w:b/>
          <w:color w:val="000000"/>
          <w:sz w:val="32"/>
          <w:szCs w:val="32"/>
        </w:rPr>
        <w:t>（一）“三公”经费财政拨款支出决算总体情况说明</w:t>
      </w:r>
      <w:bookmarkEnd w:id="81"/>
      <w:bookmarkEnd w:id="82"/>
      <w:bookmarkEnd w:id="83"/>
    </w:p>
    <w:p>
      <w:pPr>
        <w:spacing w:line="600" w:lineRule="exact"/>
        <w:ind w:firstLine="640"/>
        <w:rPr>
          <w:rFonts w:hint="eastAsia" w:ascii="仿宋_GB2312" w:hAnsi="仿宋_GB2312" w:eastAsia="仿宋_GB2312" w:cs="仿宋_GB2312"/>
          <w:snapToGrid w:val="0"/>
          <w:color w:val="000000"/>
          <w:spacing w:val="0"/>
          <w:w w:val="100"/>
          <w:kern w:val="0"/>
          <w:sz w:val="32"/>
          <w:szCs w:val="32"/>
          <w:lang w:val="en-US" w:eastAsia="zh-CN" w:bidi="ar-SA"/>
        </w:rPr>
      </w:pPr>
      <w:r>
        <w:rPr>
          <w:rFonts w:hint="eastAsia" w:ascii="仿宋_GB2312" w:hAnsi="仿宋_GB2312" w:eastAsia="仿宋_GB2312" w:cs="仿宋_GB2312"/>
          <w:snapToGrid w:val="0"/>
          <w:color w:val="000000"/>
          <w:spacing w:val="0"/>
          <w:w w:val="100"/>
          <w:kern w:val="0"/>
          <w:sz w:val="32"/>
          <w:szCs w:val="32"/>
          <w:lang w:val="en-US" w:eastAsia="zh-CN" w:bidi="ar-SA"/>
        </w:rPr>
        <w:t>2021年“三公”经费财政拨款支出决算为2.4万元，完成预算100%，决算数与预算数持平。</w:t>
      </w:r>
    </w:p>
    <w:p>
      <w:pPr>
        <w:spacing w:line="600" w:lineRule="exact"/>
        <w:ind w:firstLine="640"/>
        <w:outlineLvl w:val="2"/>
        <w:rPr>
          <w:rFonts w:hint="eastAsia" w:ascii="仿宋" w:hAnsi="仿宋" w:eastAsia="仿宋"/>
          <w:b/>
          <w:color w:val="000000"/>
          <w:sz w:val="32"/>
          <w:szCs w:val="32"/>
        </w:rPr>
      </w:pPr>
      <w:bookmarkStart w:id="84" w:name="_Toc79163621"/>
      <w:bookmarkStart w:id="85" w:name="_Toc15377217"/>
    </w:p>
    <w:p>
      <w:pPr>
        <w:spacing w:line="600" w:lineRule="exact"/>
        <w:ind w:firstLine="640"/>
        <w:outlineLvl w:val="2"/>
        <w:rPr>
          <w:rFonts w:ascii="仿宋" w:hAnsi="仿宋" w:eastAsia="仿宋"/>
          <w:b/>
          <w:color w:val="000000"/>
          <w:sz w:val="32"/>
          <w:szCs w:val="32"/>
        </w:rPr>
      </w:pPr>
      <w:bookmarkStart w:id="86" w:name="_Toc14805"/>
      <w:r>
        <w:rPr>
          <w:rFonts w:hint="eastAsia" w:ascii="仿宋" w:hAnsi="仿宋" w:eastAsia="仿宋"/>
          <w:b/>
          <w:color w:val="000000"/>
          <w:sz w:val="32"/>
          <w:szCs w:val="32"/>
        </w:rPr>
        <w:t>（二）“三公”经费财政拨款支出决算具体情况说明</w:t>
      </w:r>
      <w:bookmarkEnd w:id="84"/>
      <w:bookmarkEnd w:id="85"/>
      <w:bookmarkEnd w:id="86"/>
    </w:p>
    <w:p>
      <w:pPr>
        <w:spacing w:line="600" w:lineRule="exact"/>
        <w:ind w:firstLine="640"/>
        <w:rPr>
          <w:rFonts w:hint="eastAsia" w:ascii="仿宋_GB2312" w:hAnsi="仿宋_GB2312" w:eastAsia="仿宋_GB2312" w:cs="仿宋_GB2312"/>
          <w:snapToGrid w:val="0"/>
          <w:color w:val="000000"/>
          <w:spacing w:val="0"/>
          <w:w w:val="100"/>
          <w:kern w:val="0"/>
          <w:sz w:val="32"/>
          <w:szCs w:val="32"/>
          <w:lang w:val="en-US" w:eastAsia="zh-CN" w:bidi="ar-SA"/>
        </w:rPr>
      </w:pPr>
      <w:r>
        <w:rPr>
          <w:rFonts w:hint="eastAsia" w:ascii="仿宋_GB2312" w:hAnsi="仿宋_GB2312" w:eastAsia="仿宋_GB2312" w:cs="仿宋_GB2312"/>
          <w:snapToGrid w:val="0"/>
          <w:color w:val="000000"/>
          <w:spacing w:val="0"/>
          <w:w w:val="100"/>
          <w:kern w:val="0"/>
          <w:sz w:val="32"/>
          <w:szCs w:val="32"/>
          <w:lang w:val="en-US" w:eastAsia="zh-CN" w:bidi="ar-SA"/>
        </w:rPr>
        <w:t>2021年“三公”经费财政拨款支出决算中，因公出国（境）费支出决算0万元；公务用车购置及运行维护费支出决算1.76万元，占73.33%；公务接待费支出决算0.64万元，占26.67%。具体情况如下：</w:t>
      </w:r>
    </w:p>
    <w:p>
      <w:pPr>
        <w:pStyle w:val="23"/>
        <w:ind w:left="0" w:leftChars="0" w:firstLine="0" w:firstLineChars="0"/>
        <w:rPr>
          <w:rFonts w:hint="eastAsia" w:ascii="仿宋" w:hAnsi="仿宋" w:eastAsia="仿宋"/>
          <w:color w:val="000000"/>
          <w:sz w:val="32"/>
          <w:szCs w:val="32"/>
          <w:lang w:eastAsia="zh-CN"/>
        </w:rPr>
      </w:pP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lang w:eastAsia="zh-CN"/>
        </w:rPr>
        <w:drawing>
          <wp:inline distT="0" distB="0" distL="114300" distR="114300">
            <wp:extent cx="4064635" cy="2389505"/>
            <wp:effectExtent l="4445" t="4445" r="7620" b="635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1292" w:firstLineChars="404"/>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7</w:t>
      </w:r>
      <w:r>
        <w:rPr>
          <w:rFonts w:hint="eastAsia" w:ascii="仿宋" w:hAnsi="仿宋" w:eastAsia="仿宋"/>
          <w:color w:val="000000"/>
          <w:sz w:val="32"/>
          <w:szCs w:val="32"/>
        </w:rPr>
        <w:t>：“三公”经费财政拨款支出结构）</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21"/>
          <w:rFonts w:hint="eastAsia" w:ascii="仿宋" w:hAnsi="仿宋" w:eastAsia="仿宋"/>
          <w:b w:val="0"/>
          <w:bCs/>
          <w:color w:val="000000"/>
          <w:sz w:val="32"/>
          <w:szCs w:val="32"/>
        </w:rPr>
        <w:t>。</w:t>
      </w:r>
    </w:p>
    <w:p>
      <w:pPr>
        <w:spacing w:line="600" w:lineRule="exact"/>
        <w:ind w:firstLine="640"/>
        <w:rPr>
          <w:rFonts w:hint="eastAsia" w:ascii="仿宋_GB2312" w:hAnsi="仿宋_GB2312" w:eastAsia="仿宋_GB2312" w:cs="仿宋_GB2312"/>
          <w:snapToGrid w:val="0"/>
          <w:color w:val="000000"/>
          <w:spacing w:val="0"/>
          <w:w w:val="100"/>
          <w:kern w:val="0"/>
          <w:sz w:val="32"/>
          <w:szCs w:val="32"/>
          <w:lang w:val="en-US" w:eastAsia="zh-CN" w:bidi="ar-SA"/>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1.76万元</w:t>
      </w:r>
      <w:r>
        <w:rPr>
          <w:rFonts w:ascii="仿宋_GB2312" w:eastAsia="仿宋_GB2312"/>
          <w:color w:val="000000"/>
          <w:sz w:val="32"/>
          <w:szCs w:val="32"/>
        </w:rPr>
        <w:t>,</w:t>
      </w:r>
      <w:r>
        <w:rPr>
          <w:rStyle w:val="21"/>
          <w:rFonts w:hint="eastAsia" w:ascii="仿宋" w:hAnsi="仿宋" w:eastAsia="仿宋"/>
          <w:b w:val="0"/>
          <w:bCs/>
          <w:color w:val="000000"/>
          <w:sz w:val="32"/>
          <w:szCs w:val="32"/>
        </w:rPr>
        <w:t>完成预算</w:t>
      </w:r>
      <w:r>
        <w:rPr>
          <w:rFonts w:hint="eastAsia" w:ascii="仿宋_GB2312" w:hAnsi="仿宋_GB2312" w:eastAsia="仿宋_GB2312" w:cs="仿宋_GB2312"/>
          <w:snapToGrid w:val="0"/>
          <w:color w:val="000000"/>
          <w:spacing w:val="0"/>
          <w:w w:val="100"/>
          <w:kern w:val="0"/>
          <w:sz w:val="32"/>
          <w:szCs w:val="32"/>
          <w:lang w:val="en-US" w:eastAsia="zh-CN" w:bidi="ar-SA"/>
        </w:rPr>
        <w:t>100%。公务用车购置及运行维护费支出决算比2020年减少91.9万元，下降98.12%。主要原因是2020当年存在公务用车购置经费，且2020年针对除开日常公用经费的公务员用车之外还包括专项转移支付中的公务用车运行维护费。</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hint="eastAsia" w:ascii="仿宋_GB2312" w:hAnsi="仿宋_GB2312" w:eastAsia="仿宋_GB2312" w:cs="仿宋_GB2312"/>
          <w:snapToGrid w:val="0"/>
          <w:color w:val="000000"/>
          <w:spacing w:val="0"/>
          <w:w w:val="100"/>
          <w:kern w:val="0"/>
          <w:sz w:val="32"/>
          <w:szCs w:val="32"/>
          <w:lang w:val="en-US" w:eastAsia="zh-CN" w:bidi="ar-SA"/>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1.76万元。主要用于</w:t>
      </w:r>
      <w:r>
        <w:rPr>
          <w:rFonts w:hint="eastAsia" w:ascii="仿宋_GB2312" w:eastAsia="仿宋_GB2312"/>
          <w:color w:val="000000"/>
          <w:sz w:val="32"/>
          <w:szCs w:val="32"/>
          <w:lang w:val="en-US" w:eastAsia="zh-CN"/>
        </w:rPr>
        <w:t>单位日</w:t>
      </w:r>
      <w:r>
        <w:rPr>
          <w:rFonts w:hint="eastAsia" w:ascii="仿宋_GB2312" w:hAnsi="仿宋_GB2312" w:eastAsia="仿宋_GB2312" w:cs="仿宋_GB2312"/>
          <w:snapToGrid w:val="0"/>
          <w:color w:val="000000"/>
          <w:spacing w:val="0"/>
          <w:w w:val="100"/>
          <w:kern w:val="0"/>
          <w:sz w:val="32"/>
          <w:szCs w:val="32"/>
          <w:lang w:val="en-US" w:eastAsia="zh-CN" w:bidi="ar-SA"/>
        </w:rPr>
        <w:t>常支出等所需的公务用车燃料费、维修费、过路过桥费、保险费等支出。</w:t>
      </w:r>
    </w:p>
    <w:p>
      <w:pPr>
        <w:spacing w:line="600" w:lineRule="exact"/>
        <w:ind w:firstLine="640"/>
        <w:rPr>
          <w:rFonts w:hint="eastAsia" w:ascii="仿宋_GB2312" w:hAnsi="仿宋_GB2312" w:eastAsia="仿宋_GB2312" w:cs="仿宋_GB2312"/>
          <w:snapToGrid w:val="0"/>
          <w:color w:val="000000"/>
          <w:spacing w:val="0"/>
          <w:w w:val="100"/>
          <w:kern w:val="0"/>
          <w:sz w:val="32"/>
          <w:szCs w:val="32"/>
          <w:lang w:val="en-US" w:eastAsia="zh-CN" w:bidi="ar-SA"/>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0.64万元，</w:t>
      </w:r>
      <w:r>
        <w:rPr>
          <w:rStyle w:val="21"/>
          <w:rFonts w:hint="eastAsia" w:ascii="仿宋" w:hAnsi="仿宋" w:eastAsia="仿宋"/>
          <w:b w:val="0"/>
          <w:bCs/>
          <w:color w:val="000000"/>
          <w:sz w:val="32"/>
          <w:szCs w:val="32"/>
        </w:rPr>
        <w:t>完成预算</w:t>
      </w:r>
      <w:r>
        <w:rPr>
          <w:rStyle w:val="21"/>
          <w:rFonts w:hint="eastAsia" w:ascii="仿宋" w:hAnsi="仿宋" w:eastAsia="仿宋"/>
          <w:b w:val="0"/>
          <w:bCs/>
          <w:color w:val="000000"/>
          <w:sz w:val="32"/>
          <w:szCs w:val="32"/>
          <w:lang w:val="en-US" w:eastAsia="zh-CN"/>
        </w:rPr>
        <w:t>100.00</w:t>
      </w:r>
      <w:r>
        <w:rPr>
          <w:rStyle w:val="21"/>
          <w:rFonts w:ascii="仿宋" w:hAnsi="仿宋" w:eastAsia="仿宋"/>
          <w:b w:val="0"/>
          <w:bCs/>
          <w:color w:val="000000"/>
          <w:sz w:val="32"/>
          <w:szCs w:val="32"/>
        </w:rPr>
        <w:t>%</w:t>
      </w:r>
      <w:r>
        <w:rPr>
          <w:rStyle w:val="21"/>
          <w:rFonts w:hint="eastAsia" w:ascii="仿宋" w:hAnsi="仿宋" w:eastAsia="仿宋"/>
          <w:b w:val="0"/>
          <w:bCs/>
          <w:color w:val="000000"/>
          <w:sz w:val="32"/>
          <w:szCs w:val="32"/>
        </w:rPr>
        <w:t>。</w:t>
      </w:r>
      <w:r>
        <w:rPr>
          <w:rFonts w:hint="eastAsia" w:ascii="仿宋_GB2312" w:eastAsia="仿宋_GB2312"/>
          <w:color w:val="000000"/>
          <w:sz w:val="32"/>
          <w:szCs w:val="32"/>
        </w:rPr>
        <w:t>公务</w:t>
      </w:r>
      <w:r>
        <w:rPr>
          <w:rFonts w:hint="eastAsia" w:ascii="仿宋_GB2312" w:hAnsi="仿宋_GB2312" w:eastAsia="仿宋_GB2312" w:cs="仿宋_GB2312"/>
          <w:snapToGrid w:val="0"/>
          <w:color w:val="000000"/>
          <w:spacing w:val="0"/>
          <w:w w:val="100"/>
          <w:kern w:val="0"/>
          <w:sz w:val="32"/>
          <w:szCs w:val="32"/>
          <w:lang w:val="en-US" w:eastAsia="zh-CN" w:bidi="ar-SA"/>
        </w:rPr>
        <w:t>接待费支出决算比2020年减少0.15万元，下降18.99%。主要原因是单位厉行节约。其中：</w:t>
      </w:r>
    </w:p>
    <w:p>
      <w:pPr>
        <w:spacing w:line="600" w:lineRule="exact"/>
        <w:ind w:firstLine="640"/>
        <w:rPr>
          <w:rFonts w:hint="eastAsia" w:ascii="仿宋_GB2312" w:hAnsi="仿宋_GB2312" w:eastAsia="仿宋_GB2312" w:cs="仿宋_GB2312"/>
          <w:snapToGrid w:val="0"/>
          <w:color w:val="000000"/>
          <w:spacing w:val="0"/>
          <w:w w:val="100"/>
          <w:kern w:val="0"/>
          <w:sz w:val="32"/>
          <w:szCs w:val="32"/>
          <w:lang w:val="en-US" w:eastAsia="zh-CN" w:bidi="ar-SA"/>
        </w:rPr>
      </w:pPr>
      <w:r>
        <w:rPr>
          <w:rFonts w:hint="eastAsia" w:ascii="仿宋" w:hAnsi="仿宋" w:eastAsia="仿宋"/>
          <w:b/>
          <w:color w:val="000000"/>
          <w:sz w:val="32"/>
          <w:szCs w:val="32"/>
        </w:rPr>
        <w:t>国内公务接待支出</w:t>
      </w:r>
      <w:r>
        <w:rPr>
          <w:rFonts w:hint="eastAsia" w:ascii="仿宋_GB2312" w:eastAsia="仿宋_GB2312"/>
          <w:color w:val="000000"/>
          <w:sz w:val="32"/>
          <w:szCs w:val="32"/>
        </w:rPr>
        <w:t>0.64万元，主要用于执行公务</w:t>
      </w:r>
      <w:r>
        <w:rPr>
          <w:rFonts w:hint="eastAsia" w:ascii="仿宋_GB2312" w:eastAsia="仿宋_GB2312"/>
          <w:color w:val="000000"/>
          <w:sz w:val="32"/>
          <w:szCs w:val="32"/>
          <w:lang w:val="en-US" w:eastAsia="zh-CN"/>
        </w:rPr>
        <w:t>的</w:t>
      </w:r>
      <w:r>
        <w:rPr>
          <w:rFonts w:hint="eastAsia" w:ascii="仿宋_GB2312" w:eastAsia="仿宋_GB2312"/>
          <w:color w:val="000000"/>
          <w:sz w:val="32"/>
          <w:szCs w:val="32"/>
        </w:rPr>
        <w:t>住</w:t>
      </w:r>
      <w:r>
        <w:rPr>
          <w:rFonts w:hint="eastAsia" w:ascii="仿宋_GB2312" w:hAnsi="仿宋_GB2312" w:eastAsia="仿宋_GB2312" w:cs="仿宋_GB2312"/>
          <w:snapToGrid w:val="0"/>
          <w:color w:val="000000"/>
          <w:spacing w:val="0"/>
          <w:w w:val="100"/>
          <w:kern w:val="0"/>
          <w:sz w:val="32"/>
          <w:szCs w:val="32"/>
          <w:lang w:val="en-US" w:eastAsia="zh-CN" w:bidi="ar-SA"/>
        </w:rPr>
        <w:t>宿费、用餐费等)。国内公务接待7批次，44人次（不包括陪同人员），共计支出0.64万元。</w:t>
      </w:r>
    </w:p>
    <w:p>
      <w:pPr>
        <w:spacing w:line="600" w:lineRule="exact"/>
        <w:ind w:firstLine="640"/>
        <w:rPr>
          <w:rFonts w:hint="eastAsia" w:ascii="仿宋_GB2312" w:hAnsi="仿宋_GB2312" w:eastAsia="仿宋_GB2312" w:cs="仿宋_GB2312"/>
          <w:snapToGrid w:val="0"/>
          <w:color w:val="000000"/>
          <w:spacing w:val="0"/>
          <w:w w:val="100"/>
          <w:kern w:val="0"/>
          <w:sz w:val="32"/>
          <w:szCs w:val="32"/>
          <w:lang w:val="en-US" w:eastAsia="zh-CN" w:bidi="ar-SA"/>
        </w:rPr>
      </w:pPr>
    </w:p>
    <w:p>
      <w:pPr>
        <w:spacing w:line="600" w:lineRule="exact"/>
        <w:ind w:firstLine="640"/>
        <w:outlineLvl w:val="1"/>
        <w:rPr>
          <w:rStyle w:val="25"/>
          <w:rFonts w:ascii="黑体" w:hAnsi="黑体" w:eastAsia="黑体"/>
        </w:rPr>
      </w:pPr>
      <w:bookmarkStart w:id="87" w:name="_Toc79163622"/>
      <w:bookmarkStart w:id="88" w:name="_Toc15377218"/>
      <w:bookmarkStart w:id="89" w:name="_Toc15396610"/>
      <w:bookmarkStart w:id="90" w:name="_Toc19393"/>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87"/>
      <w:bookmarkEnd w:id="88"/>
      <w:bookmarkEnd w:id="89"/>
      <w:bookmarkEnd w:id="90"/>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napToGrid w:val="0"/>
          <w:color w:val="000000"/>
          <w:spacing w:val="0"/>
          <w:w w:val="100"/>
          <w:kern w:val="0"/>
          <w:sz w:val="32"/>
          <w:szCs w:val="32"/>
          <w:lang w:val="en-US" w:eastAsia="zh-CN" w:bidi="ar-SA"/>
        </w:rPr>
      </w:pPr>
      <w:r>
        <w:rPr>
          <w:rFonts w:hint="eastAsia" w:ascii="仿宋_GB2312" w:hAnsi="仿宋_GB2312" w:eastAsia="仿宋_GB2312" w:cs="仿宋_GB2312"/>
          <w:snapToGrid w:val="0"/>
          <w:color w:val="000000"/>
          <w:spacing w:val="0"/>
          <w:w w:val="100"/>
          <w:kern w:val="0"/>
          <w:sz w:val="32"/>
          <w:szCs w:val="32"/>
          <w:lang w:val="en-US" w:eastAsia="zh-CN" w:bidi="ar-SA"/>
        </w:rPr>
        <w:t>2021年政府性基金预算拨款支出0万元。</w:t>
      </w:r>
    </w:p>
    <w:p>
      <w:pPr>
        <w:spacing w:line="600" w:lineRule="exact"/>
        <w:ind w:firstLine="640"/>
        <w:rPr>
          <w:rFonts w:hint="eastAsia" w:ascii="仿宋_GB2312" w:hAnsi="仿宋_GB2312" w:eastAsia="仿宋_GB2312" w:cs="仿宋_GB2312"/>
          <w:snapToGrid w:val="0"/>
          <w:color w:val="000000"/>
          <w:spacing w:val="0"/>
          <w:w w:val="100"/>
          <w:kern w:val="0"/>
          <w:sz w:val="32"/>
          <w:szCs w:val="32"/>
          <w:lang w:val="en-US" w:eastAsia="zh-CN" w:bidi="ar-SA"/>
        </w:rPr>
      </w:pPr>
    </w:p>
    <w:p>
      <w:pPr>
        <w:numPr>
          <w:ilvl w:val="0"/>
          <w:numId w:val="2"/>
        </w:numPr>
        <w:spacing w:line="600" w:lineRule="exact"/>
        <w:ind w:firstLine="640"/>
        <w:outlineLvl w:val="1"/>
        <w:rPr>
          <w:rStyle w:val="25"/>
          <w:rFonts w:ascii="黑体" w:hAnsi="黑体" w:eastAsia="黑体"/>
          <w:b w:val="0"/>
        </w:rPr>
      </w:pPr>
      <w:bookmarkStart w:id="91" w:name="_Toc25076"/>
      <w:bookmarkStart w:id="92" w:name="_Toc79163623"/>
      <w:bookmarkStart w:id="93" w:name="_Toc15396611"/>
      <w:bookmarkStart w:id="94" w:name="_Toc15377219"/>
      <w:r>
        <w:rPr>
          <w:rStyle w:val="25"/>
          <w:rFonts w:hint="eastAsia" w:ascii="黑体" w:hAnsi="黑体" w:eastAsia="黑体"/>
          <w:b w:val="0"/>
        </w:rPr>
        <w:t>国有资本经营预算支出决算情况说明</w:t>
      </w:r>
      <w:bookmarkEnd w:id="91"/>
      <w:bookmarkEnd w:id="92"/>
      <w:bookmarkEnd w:id="93"/>
      <w:bookmarkEnd w:id="94"/>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napToGrid w:val="0"/>
          <w:color w:val="000000"/>
          <w:spacing w:val="0"/>
          <w:w w:val="100"/>
          <w:kern w:val="0"/>
          <w:sz w:val="32"/>
          <w:szCs w:val="32"/>
          <w:lang w:val="en-US" w:eastAsia="zh-CN" w:bidi="ar-SA"/>
        </w:rPr>
      </w:pPr>
      <w:r>
        <w:rPr>
          <w:rFonts w:hint="eastAsia" w:ascii="仿宋_GB2312" w:hAnsi="仿宋_GB2312" w:eastAsia="仿宋_GB2312" w:cs="仿宋_GB2312"/>
          <w:snapToGrid w:val="0"/>
          <w:color w:val="000000"/>
          <w:spacing w:val="0"/>
          <w:w w:val="100"/>
          <w:kern w:val="0"/>
          <w:sz w:val="32"/>
          <w:szCs w:val="32"/>
          <w:lang w:val="en-US" w:eastAsia="zh-CN" w:bidi="ar-SA"/>
        </w:rPr>
        <w:t>2021年国有资本经营预算拨款支出0万元。</w:t>
      </w:r>
    </w:p>
    <w:p>
      <w:pPr>
        <w:spacing w:line="600" w:lineRule="exact"/>
        <w:ind w:firstLine="640"/>
        <w:rPr>
          <w:rFonts w:hint="eastAsia" w:ascii="仿宋_GB2312" w:hAnsi="仿宋_GB2312" w:eastAsia="仿宋_GB2312" w:cs="仿宋_GB2312"/>
          <w:snapToGrid w:val="0"/>
          <w:color w:val="000000"/>
          <w:spacing w:val="0"/>
          <w:w w:val="100"/>
          <w:kern w:val="0"/>
          <w:sz w:val="32"/>
          <w:szCs w:val="32"/>
          <w:lang w:val="en-US" w:eastAsia="zh-CN" w:bidi="ar-SA"/>
        </w:rPr>
      </w:pPr>
    </w:p>
    <w:p>
      <w:pPr>
        <w:spacing w:line="600" w:lineRule="exact"/>
        <w:ind w:firstLine="800" w:firstLineChars="250"/>
        <w:outlineLvl w:val="1"/>
        <w:rPr>
          <w:rStyle w:val="25"/>
          <w:rFonts w:ascii="黑体" w:hAnsi="黑体" w:eastAsia="黑体"/>
        </w:rPr>
      </w:pPr>
      <w:bookmarkStart w:id="95" w:name="_Toc15377221"/>
      <w:bookmarkStart w:id="96" w:name="_Toc7656"/>
      <w:bookmarkStart w:id="97" w:name="_Toc15396612"/>
      <w:bookmarkStart w:id="98" w:name="_Toc79163624"/>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95"/>
      <w:bookmarkEnd w:id="96"/>
      <w:bookmarkEnd w:id="97"/>
      <w:bookmarkEnd w:id="98"/>
    </w:p>
    <w:p>
      <w:pPr>
        <w:spacing w:line="600" w:lineRule="exact"/>
        <w:ind w:firstLine="643" w:firstLineChars="200"/>
        <w:outlineLvl w:val="2"/>
        <w:rPr>
          <w:rFonts w:ascii="仿宋" w:hAnsi="仿宋" w:eastAsia="仿宋"/>
          <w:color w:val="000000"/>
          <w:sz w:val="32"/>
          <w:szCs w:val="32"/>
        </w:rPr>
      </w:pPr>
      <w:bookmarkStart w:id="99" w:name="_Toc15377222"/>
      <w:bookmarkStart w:id="100" w:name="_Toc1810"/>
      <w:bookmarkStart w:id="101" w:name="_Toc79163625"/>
      <w:r>
        <w:rPr>
          <w:rFonts w:hint="eastAsia" w:ascii="仿宋" w:hAnsi="仿宋" w:eastAsia="仿宋"/>
          <w:b/>
          <w:color w:val="000000"/>
          <w:sz w:val="32"/>
          <w:szCs w:val="32"/>
        </w:rPr>
        <w:t>（一）机关运行经费支出情况</w:t>
      </w:r>
      <w:bookmarkEnd w:id="99"/>
      <w:bookmarkEnd w:id="100"/>
      <w:bookmarkEnd w:id="101"/>
    </w:p>
    <w:p>
      <w:pPr>
        <w:spacing w:line="600" w:lineRule="exact"/>
        <w:ind w:firstLine="640" w:firstLineChars="200"/>
        <w:rPr>
          <w:rFonts w:hint="default" w:ascii="仿宋_GB2312" w:eastAsia="仿宋_GB2312"/>
          <w:color w:val="000000"/>
          <w:sz w:val="32"/>
          <w:szCs w:val="32"/>
          <w:lang w:val="en-US" w:eastAsia="zh-CN"/>
        </w:rPr>
      </w:pPr>
      <w:r>
        <w:rPr>
          <w:rFonts w:ascii="仿宋_GB2312" w:eastAsia="仿宋_GB2312"/>
          <w:color w:val="000000"/>
          <w:sz w:val="32"/>
          <w:szCs w:val="32"/>
        </w:rPr>
        <w:t>202</w:t>
      </w:r>
      <w:r>
        <w:rPr>
          <w:rFonts w:hint="eastAsia" w:ascii="仿宋_GB2312" w:eastAsia="仿宋_GB2312"/>
          <w:color w:val="000000"/>
          <w:sz w:val="32"/>
          <w:szCs w:val="32"/>
        </w:rPr>
        <w:t>1年，</w:t>
      </w:r>
      <w:r>
        <w:rPr>
          <w:rFonts w:hint="eastAsia" w:ascii="仿宋_GB2312" w:eastAsia="仿宋_GB2312"/>
          <w:color w:val="000000"/>
          <w:sz w:val="32"/>
          <w:szCs w:val="32"/>
          <w:lang w:val="en-US" w:eastAsia="zh-CN"/>
        </w:rPr>
        <w:t>壤塘县人民检察院</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37.88</w:t>
      </w:r>
      <w:r>
        <w:rPr>
          <w:rFonts w:hint="eastAsia" w:ascii="仿宋_GB2312" w:eastAsia="仿宋_GB2312"/>
          <w:color w:val="000000"/>
          <w:sz w:val="32"/>
          <w:szCs w:val="32"/>
        </w:rPr>
        <w:t>万元，比</w:t>
      </w:r>
      <w:r>
        <w:rPr>
          <w:rFonts w:ascii="仿宋_GB2312" w:eastAsia="仿宋_GB2312"/>
          <w:color w:val="000000"/>
          <w:sz w:val="32"/>
          <w:szCs w:val="32"/>
        </w:rPr>
        <w:t>20</w:t>
      </w:r>
      <w:r>
        <w:rPr>
          <w:rFonts w:hint="eastAsia" w:ascii="仿宋_GB2312" w:eastAsia="仿宋_GB2312"/>
          <w:color w:val="000000"/>
          <w:sz w:val="32"/>
          <w:szCs w:val="32"/>
        </w:rPr>
        <w:t>20年减少</w:t>
      </w:r>
      <w:r>
        <w:rPr>
          <w:rFonts w:hint="eastAsia" w:ascii="仿宋_GB2312" w:eastAsia="仿宋_GB2312"/>
          <w:color w:val="000000"/>
          <w:sz w:val="32"/>
          <w:szCs w:val="32"/>
          <w:lang w:val="en-US" w:eastAsia="zh-CN"/>
        </w:rPr>
        <w:t>3.35</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8.13</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val="en-US" w:eastAsia="zh-CN"/>
        </w:rPr>
        <w:t>单位厉行节约</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102" w:name="_Toc79163626"/>
      <w:bookmarkStart w:id="103" w:name="_Toc15377223"/>
      <w:bookmarkStart w:id="104" w:name="_Toc27254"/>
      <w:r>
        <w:rPr>
          <w:rFonts w:hint="eastAsia" w:ascii="仿宋" w:hAnsi="仿宋" w:eastAsia="仿宋"/>
          <w:b/>
          <w:color w:val="000000"/>
          <w:sz w:val="32"/>
          <w:szCs w:val="32"/>
        </w:rPr>
        <w:t>（二）政府采购支出情况</w:t>
      </w:r>
      <w:bookmarkEnd w:id="102"/>
      <w:bookmarkEnd w:id="103"/>
      <w:bookmarkEnd w:id="104"/>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w:t>
      </w:r>
      <w:r>
        <w:rPr>
          <w:rFonts w:hint="eastAsia" w:ascii="仿宋_GB2312" w:eastAsia="仿宋_GB2312"/>
          <w:color w:val="000000"/>
          <w:sz w:val="32"/>
          <w:szCs w:val="32"/>
        </w:rPr>
        <w:t>1年，</w:t>
      </w:r>
      <w:r>
        <w:rPr>
          <w:rFonts w:hint="eastAsia" w:ascii="仿宋_GB2312" w:eastAsia="仿宋_GB2312"/>
          <w:color w:val="000000"/>
          <w:sz w:val="32"/>
          <w:szCs w:val="32"/>
          <w:lang w:val="en-US" w:eastAsia="zh-CN"/>
        </w:rPr>
        <w:t>壤塘县人民检察院</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105" w:name="_Toc16852"/>
      <w:bookmarkStart w:id="106" w:name="_Toc15377224"/>
      <w:bookmarkStart w:id="107" w:name="_Toc79163627"/>
      <w:r>
        <w:rPr>
          <w:rFonts w:hint="eastAsia" w:ascii="仿宋" w:hAnsi="仿宋" w:eastAsia="仿宋"/>
          <w:b/>
          <w:color w:val="000000"/>
          <w:sz w:val="32"/>
          <w:szCs w:val="32"/>
        </w:rPr>
        <w:t>（三）国有资产占有使用情况</w:t>
      </w:r>
      <w:bookmarkEnd w:id="105"/>
      <w:bookmarkEnd w:id="106"/>
      <w:bookmarkEnd w:id="107"/>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w:t>
      </w:r>
      <w:r>
        <w:rPr>
          <w:rFonts w:hint="eastAsia" w:ascii="仿宋_GB2312" w:eastAsia="仿宋_GB2312"/>
          <w:color w:val="000000"/>
          <w:sz w:val="32"/>
          <w:szCs w:val="32"/>
        </w:rPr>
        <w:t>1年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val="en-US" w:eastAsia="zh-CN"/>
        </w:rPr>
        <w:t>壤塘县人民检察院</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辆，其中：</w:t>
      </w:r>
      <w:r>
        <w:rPr>
          <w:rFonts w:hint="eastAsia" w:ascii="仿宋_GB2312" w:eastAsia="仿宋_GB2312"/>
          <w:color w:val="000000"/>
          <w:sz w:val="32"/>
          <w:szCs w:val="32"/>
          <w:lang w:val="en-US" w:eastAsia="zh-CN"/>
        </w:rPr>
        <w:t>执法执勤</w:t>
      </w:r>
      <w:r>
        <w:rPr>
          <w:rFonts w:hint="eastAsia" w:ascii="仿宋_GB2312" w:eastAsia="仿宋_GB2312"/>
          <w:color w:val="000000"/>
          <w:sz w:val="32"/>
          <w:szCs w:val="32"/>
        </w:rPr>
        <w:t>用车</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辆、</w:t>
      </w:r>
      <w:r>
        <w:rPr>
          <w:rFonts w:hint="eastAsia" w:ascii="仿宋_GB2312" w:eastAsia="仿宋_GB2312"/>
          <w:color w:val="000000"/>
          <w:sz w:val="32"/>
          <w:szCs w:val="32"/>
          <w:lang w:val="en-US" w:eastAsia="zh-CN"/>
        </w:rPr>
        <w:t>特种专业技术用车1</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sz w:val="32"/>
          <w:szCs w:val="32"/>
        </w:rPr>
        <w:t>单价</w:t>
      </w:r>
      <w:r>
        <w:rPr>
          <w:rFonts w:ascii="仿宋_GB2312" w:eastAsia="仿宋_GB2312"/>
          <w:color w:val="000000"/>
          <w:sz w:val="32"/>
          <w:szCs w:val="32"/>
        </w:rPr>
        <w:t>50</w:t>
      </w:r>
      <w:r>
        <w:rPr>
          <w:rFonts w:hint="eastAsia" w:ascii="仿宋_GB2312" w:eastAsia="仿宋_GB2312"/>
          <w:color w:val="000000"/>
          <w:sz w:val="32"/>
          <w:szCs w:val="32"/>
        </w:rPr>
        <w:t>万元以上通用设备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108" w:name="_Toc79163628"/>
      <w:bookmarkStart w:id="109" w:name="_Toc23691"/>
      <w:r>
        <w:rPr>
          <w:rFonts w:hint="eastAsia" w:ascii="仿宋" w:hAnsi="仿宋" w:eastAsia="仿宋"/>
          <w:b/>
          <w:color w:val="000000"/>
          <w:sz w:val="32"/>
          <w:szCs w:val="32"/>
        </w:rPr>
        <w:t>（四）预算绩效管理情况。</w:t>
      </w:r>
      <w:bookmarkEnd w:id="108"/>
      <w:bookmarkEnd w:id="109"/>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项目（项目名称）开展了预算事前绩效评估，对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1年部门整体支出开展绩效自评，从评价情况来看</w:t>
      </w:r>
      <w:r>
        <w:rPr>
          <w:rFonts w:hint="eastAsia" w:ascii="仿宋_GB2312" w:hAnsi="仿宋_GB2312" w:eastAsia="仿宋_GB2312" w:cs="仿宋_GB2312"/>
          <w:sz w:val="32"/>
          <w:szCs w:val="32"/>
          <w:lang w:val="en-US" w:eastAsia="zh-CN"/>
        </w:rPr>
        <w:t>2021年检察院整体运行情况较好</w:t>
      </w:r>
      <w:r>
        <w:rPr>
          <w:rFonts w:hint="eastAsia" w:ascii="仿宋_GB2312" w:hAnsi="仿宋_GB2312" w:eastAsia="仿宋_GB2312" w:cs="仿宋_GB2312"/>
          <w:sz w:val="32"/>
          <w:szCs w:val="32"/>
        </w:rPr>
        <w:t>。本部门还自行组织了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个项目支出绩效评价，从评价情况来看</w:t>
      </w:r>
      <w:r>
        <w:rPr>
          <w:rFonts w:hint="eastAsia" w:ascii="仿宋_GB2312" w:hAnsi="仿宋_GB2312" w:eastAsia="仿宋_GB2312" w:cs="仿宋_GB2312"/>
          <w:sz w:val="32"/>
          <w:szCs w:val="32"/>
          <w:lang w:val="en-US" w:eastAsia="zh-CN"/>
        </w:rPr>
        <w:t>2021年单位项目绩效运行完成情况较差，资金支付进度不到位</w:t>
      </w:r>
      <w:r>
        <w:rPr>
          <w:rFonts w:hint="eastAsia" w:ascii="仿宋_GB2312" w:hAnsi="仿宋_GB2312" w:eastAsia="仿宋_GB2312" w:cs="仿宋_GB2312"/>
          <w:sz w:val="32"/>
          <w:szCs w:val="32"/>
        </w:rPr>
        <w:t>。</w:t>
      </w:r>
    </w:p>
    <w:p>
      <w:pPr>
        <w:spacing w:line="580" w:lineRule="exact"/>
        <w:ind w:firstLine="640" w:firstLineChars="200"/>
        <w:rPr>
          <w:rFonts w:hint="eastAsia" w:ascii="楷体_GB2312" w:hAnsi="楷体_GB2312" w:eastAsia="楷体_GB2312" w:cs="楷体_GB2312"/>
          <w:sz w:val="32"/>
          <w:szCs w:val="32"/>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项目绩效目标完成情况。</w:t>
      </w:r>
    </w:p>
    <w:p>
      <w:pPr>
        <w:pStyle w:val="2"/>
        <w:ind w:firstLine="640" w:firstLineChars="20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2021年</w:t>
      </w:r>
      <w:r>
        <w:rPr>
          <w:rFonts w:hint="eastAsia" w:hAnsi="仿宋_GB2312" w:cs="仿宋_GB2312"/>
          <w:kern w:val="2"/>
          <w:sz w:val="32"/>
          <w:szCs w:val="32"/>
          <w:lang w:val="en-US" w:eastAsia="zh-CN" w:bidi="ar-SA"/>
        </w:rPr>
        <w:t>我院未开展项目绩效自评工作。</w:t>
      </w:r>
    </w:p>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1年部门整体支出绩效评价情况开展自评，《</w:t>
      </w:r>
      <w:r>
        <w:rPr>
          <w:rFonts w:hint="eastAsia" w:ascii="仿宋_GB2312" w:hAnsi="仿宋_GB2312" w:eastAsia="仿宋_GB2312" w:cs="仿宋_GB2312"/>
          <w:sz w:val="32"/>
          <w:szCs w:val="32"/>
          <w:lang w:val="en-US" w:eastAsia="zh-CN"/>
        </w:rPr>
        <w:t>壤塘县人民检察院</w:t>
      </w:r>
      <w:r>
        <w:rPr>
          <w:rFonts w:hint="eastAsia" w:ascii="仿宋_GB2312" w:hAnsi="仿宋_GB2312" w:eastAsia="仿宋_GB2312" w:cs="仿宋_GB2312"/>
          <w:sz w:val="32"/>
          <w:szCs w:val="32"/>
        </w:rPr>
        <w:t>部门</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1年部门整体支出绩效评价报告》见附件（附件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3"/>
        </w:numPr>
        <w:spacing w:line="600" w:lineRule="exact"/>
        <w:ind w:firstLine="660" w:firstLineChars="150"/>
        <w:jc w:val="center"/>
        <w:outlineLvl w:val="0"/>
        <w:rPr>
          <w:rStyle w:val="24"/>
          <w:rFonts w:ascii="黑体" w:hAnsi="黑体" w:eastAsia="黑体"/>
          <w:b w:val="0"/>
        </w:rPr>
      </w:pPr>
      <w:bookmarkStart w:id="110" w:name="_Toc15396613"/>
      <w:bookmarkStart w:id="111" w:name="_Toc15377225"/>
      <w:bookmarkStart w:id="112" w:name="_Toc79163629"/>
      <w:bookmarkStart w:id="113" w:name="_Toc31141"/>
      <w:r>
        <w:rPr>
          <w:rFonts w:hint="eastAsia" w:ascii="黑体" w:hAnsi="黑体" w:eastAsia="黑体"/>
          <w:color w:val="000000"/>
          <w:sz w:val="44"/>
          <w:szCs w:val="44"/>
        </w:rPr>
        <w:t>名</w:t>
      </w:r>
      <w:r>
        <w:rPr>
          <w:rStyle w:val="24"/>
          <w:rFonts w:hint="eastAsia" w:ascii="黑体" w:hAnsi="黑体" w:eastAsia="黑体"/>
          <w:b w:val="0"/>
        </w:rPr>
        <w:t>词解释</w:t>
      </w:r>
      <w:bookmarkEnd w:id="110"/>
      <w:bookmarkEnd w:id="111"/>
      <w:bookmarkEnd w:id="112"/>
      <w:bookmarkEnd w:id="113"/>
    </w:p>
    <w:p>
      <w:pPr>
        <w:spacing w:line="600" w:lineRule="exact"/>
        <w:jc w:val="left"/>
        <w:rPr>
          <w:rFonts w:ascii="宋体"/>
          <w:b/>
          <w:color w:val="000000"/>
          <w:sz w:val="44"/>
          <w:szCs w:val="44"/>
        </w:rPr>
      </w:pPr>
    </w:p>
    <w:p>
      <w:pPr>
        <w:pStyle w:val="18"/>
        <w:keepNext w:val="0"/>
        <w:keepLines w:val="0"/>
        <w:pageBreakBefore w:val="0"/>
        <w:widowControl/>
        <w:numPr>
          <w:ilvl w:val="0"/>
          <w:numId w:val="0"/>
        </w:numPr>
        <w:suppressLineNumbers w:val="0"/>
        <w:kinsoku/>
        <w:wordWrap/>
        <w:overflowPunct/>
        <w:topLinePunct w:val="0"/>
        <w:bidi w:val="0"/>
        <w:spacing w:before="300" w:beforeAutospacing="0" w:after="0" w:afterAutospacing="0" w:line="560" w:lineRule="exact"/>
        <w:ind w:right="0" w:rightChars="0" w:firstLine="640" w:firstLineChars="200"/>
        <w:jc w:val="left"/>
        <w:textAlignment w:val="auto"/>
        <w:rPr>
          <w:rFonts w:hint="eastAsia" w:ascii="仿宋_GB2312" w:eastAsia="仿宋_GB2312"/>
          <w:sz w:val="32"/>
          <w:szCs w:val="32"/>
        </w:rPr>
      </w:pPr>
      <w:bookmarkStart w:id="114" w:name="_Toc79163630"/>
      <w:bookmarkStart w:id="115" w:name="_Toc15396614"/>
      <w:bookmarkStart w:id="116" w:name="_Toc15377226"/>
      <w:r>
        <w:rPr>
          <w:rFonts w:hint="eastAsia" w:ascii="仿宋_GB2312" w:eastAsia="仿宋_GB2312"/>
          <w:sz w:val="32"/>
          <w:szCs w:val="32"/>
          <w:lang w:val="en-US" w:eastAsia="zh-CN"/>
        </w:rPr>
        <w:t>1.</w:t>
      </w:r>
      <w:r>
        <w:rPr>
          <w:rFonts w:hint="eastAsia" w:ascii="仿宋_GB2312" w:eastAsia="仿宋_GB2312"/>
          <w:sz w:val="32"/>
          <w:szCs w:val="32"/>
        </w:rPr>
        <w:t>财政拨款收入：指由财政拨款形成的部门收入。按现行管理制度,部门预算中反映的财政拨款仅包括一般公共预算拨款和政府性基金预算拨款。</w:t>
      </w:r>
      <w:r>
        <w:rPr>
          <w:rFonts w:hint="eastAsia" w:ascii="仿宋_GB2312" w:eastAsia="仿宋_GB2312"/>
          <w:sz w:val="32"/>
          <w:szCs w:val="32"/>
          <w:lang w:val="en-US" w:eastAsia="zh-CN"/>
        </w:rPr>
        <w:t xml:space="preserve"> </w:t>
      </w:r>
    </w:p>
    <w:p>
      <w:pPr>
        <w:pStyle w:val="34"/>
        <w:pageBreakBefore w:val="0"/>
        <w:kinsoku/>
        <w:wordWrap/>
        <w:overflowPunct/>
        <w:topLinePunct w:val="0"/>
        <w:bidi w:val="0"/>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2.其他收入：指除“财政拨款收入”“事业收入”</w:t>
      </w:r>
      <w:r>
        <w:rPr>
          <w:rFonts w:hint="eastAsia" w:ascii="仿宋_GB2312" w:eastAsia="仿宋_GB2312"/>
          <w:sz w:val="32"/>
          <w:szCs w:val="32"/>
        </w:rPr>
        <w:t>“事业单位经营收入”等以外的收入,主要是所属行政事业单位按规定动用的售房收入、存款利息收入等。</w:t>
      </w:r>
    </w:p>
    <w:p>
      <w:pPr>
        <w:pStyle w:val="34"/>
        <w:pageBreakBefore w:val="0"/>
        <w:kinsoku/>
        <w:wordWrap/>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3</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p>
    <w:p>
      <w:pPr>
        <w:pStyle w:val="34"/>
        <w:pageBreakBefore w:val="0"/>
        <w:kinsoku/>
        <w:wordWrap/>
        <w:overflowPunct/>
        <w:topLinePunct w:val="0"/>
        <w:bidi w:val="0"/>
        <w:spacing w:line="560" w:lineRule="exact"/>
        <w:ind w:firstLine="640" w:firstLineChars="200"/>
        <w:textAlignment w:val="auto"/>
        <w:rPr>
          <w:rFonts w:hint="eastAsia" w:ascii="仿宋_GB2312" w:hAnsi="Times New Roman" w:eastAsia="仿宋_GB2312" w:cs="Times New Roman"/>
          <w:color w:val="auto"/>
          <w:kern w:val="0"/>
          <w:sz w:val="32"/>
          <w:szCs w:val="32"/>
          <w:lang w:val="en-US" w:eastAsia="zh-CN" w:bidi="ar"/>
        </w:rPr>
      </w:pPr>
      <w:r>
        <w:rPr>
          <w:rFonts w:hint="eastAsia" w:ascii="仿宋_GB2312" w:eastAsia="仿宋_GB2312"/>
          <w:sz w:val="32"/>
          <w:szCs w:val="32"/>
          <w:lang w:val="en-US" w:eastAsia="zh-CN"/>
        </w:rPr>
        <w:t>4</w:t>
      </w:r>
      <w:r>
        <w:rPr>
          <w:rFonts w:hint="eastAsia" w:ascii="仿宋_GB2312" w:eastAsia="仿宋_GB2312"/>
          <w:sz w:val="32"/>
          <w:szCs w:val="32"/>
          <w:lang w:eastAsia="zh-CN"/>
        </w:rPr>
        <w:t>.</w:t>
      </w:r>
      <w:r>
        <w:rPr>
          <w:rFonts w:hint="eastAsia" w:ascii="仿宋_GB2312" w:eastAsia="仿宋_GB2312"/>
          <w:sz w:val="32"/>
          <w:szCs w:val="32"/>
        </w:rPr>
        <w:t>年末结转和结余：指单位按有关规定结转到下年或以后年</w:t>
      </w:r>
      <w:r>
        <w:rPr>
          <w:rFonts w:hint="eastAsia" w:ascii="仿宋_GB2312" w:hAnsi="Times New Roman" w:eastAsia="仿宋_GB2312" w:cs="Times New Roman"/>
          <w:color w:val="auto"/>
          <w:kern w:val="0"/>
          <w:sz w:val="32"/>
          <w:szCs w:val="32"/>
          <w:lang w:val="en-US" w:eastAsia="zh-CN" w:bidi="ar"/>
        </w:rPr>
        <w:t>度继续使用的资金。</w:t>
      </w:r>
    </w:p>
    <w:p>
      <w:pPr>
        <w:pageBreakBefore w:val="0"/>
        <w:kinsoku/>
        <w:wordWrap/>
        <w:overflowPunct/>
        <w:topLinePunct w:val="0"/>
        <w:bidi w:val="0"/>
        <w:spacing w:line="560" w:lineRule="exact"/>
        <w:ind w:firstLine="640" w:firstLineChars="200"/>
        <w:textAlignment w:val="auto"/>
        <w:rPr>
          <w:rFonts w:hint="eastAsia" w:ascii="仿宋_GB2312" w:hAnsi="Times New Roman" w:eastAsia="仿宋_GB2312" w:cs="Times New Roman"/>
          <w:color w:val="auto"/>
          <w:kern w:val="0"/>
          <w:sz w:val="32"/>
          <w:szCs w:val="32"/>
          <w:lang w:val="en-US" w:eastAsia="zh-CN" w:bidi="ar"/>
        </w:rPr>
      </w:pPr>
      <w:r>
        <w:rPr>
          <w:rFonts w:hint="eastAsia" w:ascii="仿宋_GB2312" w:eastAsia="仿宋_GB2312" w:cs="Times New Roman"/>
          <w:color w:val="auto"/>
          <w:kern w:val="0"/>
          <w:sz w:val="32"/>
          <w:szCs w:val="32"/>
          <w:lang w:val="en-US" w:eastAsia="zh-CN" w:bidi="ar"/>
        </w:rPr>
        <w:t>5</w:t>
      </w:r>
      <w:r>
        <w:rPr>
          <w:rFonts w:hint="eastAsia" w:ascii="仿宋_GB2312" w:hAnsi="Times New Roman" w:eastAsia="仿宋_GB2312" w:cs="Times New Roman"/>
          <w:color w:val="auto"/>
          <w:kern w:val="0"/>
          <w:sz w:val="32"/>
          <w:szCs w:val="32"/>
          <w:lang w:val="en-US" w:eastAsia="zh-CN" w:bidi="ar"/>
        </w:rPr>
        <w:t>.公共安全支出（204）检察（04）行政运行（01）：指</w:t>
      </w:r>
      <w:r>
        <w:rPr>
          <w:rFonts w:hint="eastAsia" w:ascii="仿宋_GB2312" w:eastAsia="仿宋_GB2312" w:cs="Times New Roman"/>
          <w:color w:val="auto"/>
          <w:kern w:val="0"/>
          <w:sz w:val="32"/>
          <w:szCs w:val="32"/>
          <w:lang w:val="en-US" w:eastAsia="zh-CN" w:bidi="ar"/>
        </w:rPr>
        <w:t>行政单位（包括实行公务员管理的事业单位）的基本支出</w:t>
      </w:r>
      <w:r>
        <w:rPr>
          <w:rFonts w:hint="eastAsia" w:ascii="仿宋_GB2312" w:hAnsi="Times New Roman" w:eastAsia="仿宋_GB2312" w:cs="Times New Roman"/>
          <w:color w:val="auto"/>
          <w:kern w:val="0"/>
          <w:sz w:val="32"/>
          <w:szCs w:val="32"/>
          <w:lang w:val="en-US" w:eastAsia="zh-CN" w:bidi="ar"/>
        </w:rPr>
        <w:t>。</w:t>
      </w:r>
    </w:p>
    <w:p>
      <w:pPr>
        <w:pageBreakBefore w:val="0"/>
        <w:kinsoku/>
        <w:wordWrap/>
        <w:overflowPunct/>
        <w:topLinePunct w:val="0"/>
        <w:bidi w:val="0"/>
        <w:spacing w:line="560" w:lineRule="exact"/>
        <w:ind w:firstLine="640" w:firstLineChars="200"/>
        <w:textAlignment w:val="auto"/>
        <w:rPr>
          <w:rFonts w:hint="eastAsia" w:ascii="仿宋_GB2312" w:hAnsi="Times New Roman" w:eastAsia="仿宋_GB2312" w:cs="Times New Roman"/>
          <w:color w:val="auto"/>
          <w:kern w:val="0"/>
          <w:sz w:val="32"/>
          <w:szCs w:val="32"/>
          <w:lang w:val="en-US" w:eastAsia="zh-CN" w:bidi="ar"/>
        </w:rPr>
      </w:pPr>
      <w:r>
        <w:rPr>
          <w:rFonts w:hint="eastAsia" w:ascii="仿宋_GB2312" w:eastAsia="仿宋_GB2312" w:cs="Times New Roman"/>
          <w:color w:val="auto"/>
          <w:kern w:val="0"/>
          <w:sz w:val="32"/>
          <w:szCs w:val="32"/>
          <w:lang w:val="en-US" w:eastAsia="zh-CN" w:bidi="ar"/>
        </w:rPr>
        <w:t>6</w:t>
      </w:r>
      <w:r>
        <w:rPr>
          <w:rFonts w:hint="eastAsia" w:ascii="仿宋_GB2312" w:hAnsi="Times New Roman" w:eastAsia="仿宋_GB2312" w:cs="Times New Roman"/>
          <w:color w:val="auto"/>
          <w:kern w:val="0"/>
          <w:sz w:val="32"/>
          <w:szCs w:val="32"/>
          <w:lang w:val="en-US" w:eastAsia="zh-CN" w:bidi="ar"/>
        </w:rPr>
        <w:t>.公共安全支出（204）检察（04）一般行政管理事务（02）：指</w:t>
      </w:r>
      <w:r>
        <w:rPr>
          <w:rFonts w:hint="eastAsia" w:ascii="仿宋_GB2312" w:eastAsia="仿宋_GB2312" w:cs="Times New Roman"/>
          <w:color w:val="auto"/>
          <w:kern w:val="0"/>
          <w:sz w:val="32"/>
          <w:szCs w:val="32"/>
          <w:lang w:val="en-US" w:eastAsia="zh-CN" w:bidi="ar"/>
        </w:rPr>
        <w:t>行政单位（包括实行公务员管理的事业单位）未独立设置项级科目的其他项目支出</w:t>
      </w:r>
      <w:r>
        <w:rPr>
          <w:rFonts w:hint="eastAsia" w:ascii="仿宋_GB2312" w:hAnsi="Times New Roman" w:eastAsia="仿宋_GB2312" w:cs="Times New Roman"/>
          <w:color w:val="auto"/>
          <w:kern w:val="0"/>
          <w:sz w:val="32"/>
          <w:szCs w:val="32"/>
          <w:lang w:val="en-US" w:eastAsia="zh-CN" w:bidi="ar"/>
        </w:rPr>
        <w:t>。</w:t>
      </w:r>
    </w:p>
    <w:p>
      <w:pPr>
        <w:pageBreakBefore w:val="0"/>
        <w:kinsoku/>
        <w:wordWrap/>
        <w:overflowPunct/>
        <w:topLinePunct w:val="0"/>
        <w:bidi w:val="0"/>
        <w:spacing w:line="560" w:lineRule="exact"/>
        <w:ind w:firstLine="640" w:firstLineChars="200"/>
        <w:textAlignment w:val="auto"/>
        <w:rPr>
          <w:rFonts w:hint="eastAsia" w:ascii="仿宋_GB2312" w:hAnsi="Times New Roman" w:eastAsia="仿宋_GB2312" w:cs="Times New Roman"/>
          <w:color w:val="auto"/>
          <w:kern w:val="0"/>
          <w:sz w:val="32"/>
          <w:szCs w:val="32"/>
          <w:lang w:val="en-US" w:eastAsia="zh-CN" w:bidi="ar"/>
        </w:rPr>
      </w:pPr>
      <w:r>
        <w:rPr>
          <w:rFonts w:hint="eastAsia" w:ascii="仿宋_GB2312" w:eastAsia="仿宋_GB2312" w:cs="Times New Roman"/>
          <w:color w:val="auto"/>
          <w:kern w:val="0"/>
          <w:sz w:val="32"/>
          <w:szCs w:val="32"/>
          <w:lang w:val="en-US" w:eastAsia="zh-CN" w:bidi="ar"/>
        </w:rPr>
        <w:t>7</w:t>
      </w:r>
      <w:r>
        <w:rPr>
          <w:rFonts w:hint="eastAsia" w:ascii="仿宋_GB2312" w:hAnsi="Times New Roman" w:eastAsia="仿宋_GB2312" w:cs="Times New Roman"/>
          <w:color w:val="auto"/>
          <w:kern w:val="0"/>
          <w:sz w:val="32"/>
          <w:szCs w:val="32"/>
          <w:lang w:val="en-US" w:eastAsia="zh-CN" w:bidi="ar"/>
        </w:rPr>
        <w:t>.公共安全支出（204）检察（04）其他检察支出（99）：指</w:t>
      </w:r>
      <w:r>
        <w:rPr>
          <w:rFonts w:hint="eastAsia" w:ascii="仿宋_GB2312" w:eastAsia="仿宋_GB2312" w:cs="Times New Roman"/>
          <w:color w:val="auto"/>
          <w:kern w:val="0"/>
          <w:sz w:val="32"/>
          <w:szCs w:val="32"/>
          <w:lang w:val="en-US" w:eastAsia="zh-CN" w:bidi="ar"/>
        </w:rPr>
        <w:t>其他用于检察方面的支出</w:t>
      </w:r>
      <w:r>
        <w:rPr>
          <w:rFonts w:hint="eastAsia" w:ascii="仿宋_GB2312" w:hAnsi="Times New Roman" w:eastAsia="仿宋_GB2312" w:cs="Times New Roman"/>
          <w:color w:val="auto"/>
          <w:kern w:val="0"/>
          <w:sz w:val="32"/>
          <w:szCs w:val="32"/>
          <w:lang w:val="en-US" w:eastAsia="zh-CN" w:bidi="ar"/>
        </w:rPr>
        <w:t>。</w:t>
      </w:r>
    </w:p>
    <w:p>
      <w:pPr>
        <w:pageBreakBefore w:val="0"/>
        <w:kinsoku/>
        <w:wordWrap/>
        <w:overflowPunct/>
        <w:topLinePunct w:val="0"/>
        <w:bidi w:val="0"/>
        <w:spacing w:line="560" w:lineRule="exact"/>
        <w:ind w:firstLine="640" w:firstLineChars="200"/>
        <w:textAlignment w:val="auto"/>
        <w:rPr>
          <w:rFonts w:hint="eastAsia" w:ascii="仿宋_GB2312" w:hAnsi="Times New Roman" w:eastAsia="仿宋_GB2312" w:cs="Times New Roman"/>
          <w:color w:val="auto"/>
          <w:kern w:val="0"/>
          <w:sz w:val="32"/>
          <w:szCs w:val="32"/>
          <w:lang w:val="en-US" w:eastAsia="zh-CN" w:bidi="ar"/>
        </w:rPr>
      </w:pPr>
      <w:r>
        <w:rPr>
          <w:rFonts w:hint="eastAsia" w:ascii="仿宋_GB2312" w:eastAsia="仿宋_GB2312" w:cs="Times New Roman"/>
          <w:color w:val="auto"/>
          <w:kern w:val="0"/>
          <w:sz w:val="32"/>
          <w:szCs w:val="32"/>
          <w:lang w:val="en-US" w:eastAsia="zh-CN" w:bidi="ar"/>
        </w:rPr>
        <w:t>8</w:t>
      </w:r>
      <w:r>
        <w:rPr>
          <w:rFonts w:hint="eastAsia" w:ascii="仿宋_GB2312" w:hAnsi="Times New Roman" w:eastAsia="仿宋_GB2312" w:cs="Times New Roman"/>
          <w:color w:val="auto"/>
          <w:kern w:val="0"/>
          <w:sz w:val="32"/>
          <w:szCs w:val="32"/>
          <w:lang w:val="en-US" w:eastAsia="zh-CN" w:bidi="ar"/>
        </w:rPr>
        <w:t>.公共安全支出（204）司法（06）法律援助（07）：指</w:t>
      </w:r>
      <w:r>
        <w:rPr>
          <w:rFonts w:hint="eastAsia" w:ascii="仿宋_GB2312" w:eastAsia="仿宋_GB2312" w:cs="Times New Roman"/>
          <w:color w:val="auto"/>
          <w:kern w:val="0"/>
          <w:sz w:val="32"/>
          <w:szCs w:val="32"/>
          <w:lang w:val="en-US" w:eastAsia="zh-CN" w:bidi="ar"/>
        </w:rPr>
        <w:t>各级法律援助机构用于开展法律援助工作的支出</w:t>
      </w:r>
      <w:r>
        <w:rPr>
          <w:rFonts w:hint="eastAsia" w:ascii="仿宋_GB2312" w:hAnsi="Times New Roman" w:eastAsia="仿宋_GB2312" w:cs="Times New Roman"/>
          <w:color w:val="auto"/>
          <w:kern w:val="0"/>
          <w:sz w:val="32"/>
          <w:szCs w:val="32"/>
          <w:lang w:val="en-US" w:eastAsia="zh-CN" w:bidi="ar"/>
        </w:rPr>
        <w:t>。</w:t>
      </w:r>
    </w:p>
    <w:p>
      <w:pPr>
        <w:pageBreakBefore w:val="0"/>
        <w:kinsoku/>
        <w:wordWrap/>
        <w:overflowPunct/>
        <w:topLinePunct w:val="0"/>
        <w:bidi w:val="0"/>
        <w:spacing w:line="560" w:lineRule="exact"/>
        <w:ind w:firstLine="640" w:firstLineChars="200"/>
        <w:textAlignment w:val="auto"/>
        <w:rPr>
          <w:rFonts w:hint="eastAsia" w:ascii="仿宋_GB2312" w:hAnsi="Times New Roman" w:eastAsia="仿宋_GB2312" w:cs="Times New Roman"/>
          <w:color w:val="auto"/>
          <w:kern w:val="0"/>
          <w:sz w:val="32"/>
          <w:szCs w:val="32"/>
          <w:lang w:val="en-US" w:eastAsia="zh-CN" w:bidi="ar"/>
        </w:rPr>
      </w:pPr>
      <w:r>
        <w:rPr>
          <w:rFonts w:hint="eastAsia" w:ascii="仿宋_GB2312" w:eastAsia="仿宋_GB2312" w:cs="Times New Roman"/>
          <w:color w:val="auto"/>
          <w:kern w:val="0"/>
          <w:sz w:val="32"/>
          <w:szCs w:val="32"/>
          <w:lang w:val="en-US" w:eastAsia="zh-CN" w:bidi="ar"/>
        </w:rPr>
        <w:t>9</w:t>
      </w:r>
      <w:r>
        <w:rPr>
          <w:rFonts w:hint="eastAsia" w:ascii="仿宋_GB2312" w:hAnsi="Times New Roman" w:eastAsia="仿宋_GB2312" w:cs="Times New Roman"/>
          <w:color w:val="auto"/>
          <w:kern w:val="0"/>
          <w:sz w:val="32"/>
          <w:szCs w:val="32"/>
          <w:lang w:val="en-US" w:eastAsia="zh-CN" w:bidi="ar"/>
        </w:rPr>
        <w:t>.社会保障和就业支出（208）行政事业单位离退休（05）机关事业单位基本养老保险缴费支出（05）：指</w:t>
      </w:r>
      <w:r>
        <w:rPr>
          <w:rFonts w:hint="eastAsia" w:ascii="仿宋_GB2312" w:eastAsia="仿宋_GB2312" w:cs="Times New Roman"/>
          <w:color w:val="auto"/>
          <w:kern w:val="0"/>
          <w:sz w:val="32"/>
          <w:szCs w:val="32"/>
          <w:lang w:val="en-US" w:eastAsia="zh-CN" w:bidi="ar"/>
        </w:rPr>
        <w:t>机关事业单位实施养老保险制度由单位缴纳的基本养老保险支出</w:t>
      </w:r>
      <w:r>
        <w:rPr>
          <w:rFonts w:hint="eastAsia" w:ascii="仿宋_GB2312" w:hAnsi="Times New Roman" w:eastAsia="仿宋_GB2312" w:cs="Times New Roman"/>
          <w:color w:val="auto"/>
          <w:kern w:val="0"/>
          <w:sz w:val="32"/>
          <w:szCs w:val="32"/>
          <w:lang w:val="en-US" w:eastAsia="zh-CN" w:bidi="ar"/>
        </w:rPr>
        <w:t>。</w:t>
      </w:r>
    </w:p>
    <w:p>
      <w:pPr>
        <w:pageBreakBefore w:val="0"/>
        <w:kinsoku/>
        <w:wordWrap/>
        <w:overflowPunct/>
        <w:topLinePunct w:val="0"/>
        <w:bidi w:val="0"/>
        <w:spacing w:line="560" w:lineRule="exact"/>
        <w:ind w:firstLine="640" w:firstLineChars="200"/>
        <w:textAlignment w:val="auto"/>
        <w:rPr>
          <w:rFonts w:hint="eastAsia" w:ascii="仿宋_GB2312" w:hAnsi="Times New Roman" w:eastAsia="仿宋_GB2312" w:cs="Times New Roman"/>
          <w:color w:val="auto"/>
          <w:kern w:val="0"/>
          <w:sz w:val="32"/>
          <w:szCs w:val="32"/>
          <w:lang w:val="en-US" w:eastAsia="zh-CN" w:bidi="ar"/>
        </w:rPr>
      </w:pPr>
      <w:r>
        <w:rPr>
          <w:rFonts w:hint="eastAsia" w:ascii="仿宋_GB2312" w:eastAsia="仿宋_GB2312" w:cs="Times New Roman"/>
          <w:color w:val="auto"/>
          <w:kern w:val="0"/>
          <w:sz w:val="32"/>
          <w:szCs w:val="32"/>
          <w:lang w:val="en-US" w:eastAsia="zh-CN" w:bidi="ar"/>
        </w:rPr>
        <w:t>10</w:t>
      </w:r>
      <w:r>
        <w:rPr>
          <w:rFonts w:hint="eastAsia" w:ascii="仿宋_GB2312" w:hAnsi="Times New Roman" w:eastAsia="仿宋_GB2312" w:cs="Times New Roman"/>
          <w:color w:val="auto"/>
          <w:kern w:val="0"/>
          <w:sz w:val="32"/>
          <w:szCs w:val="32"/>
          <w:lang w:val="en-US" w:eastAsia="zh-CN" w:bidi="ar"/>
        </w:rPr>
        <w:t>.社会保障和就业支出（208）行政事业单位离退休（05）机关事业单位职业年金缴费支出（06）：指</w:t>
      </w:r>
      <w:r>
        <w:rPr>
          <w:rFonts w:hint="eastAsia" w:ascii="仿宋_GB2312" w:eastAsia="仿宋_GB2312" w:cs="Times New Roman"/>
          <w:color w:val="auto"/>
          <w:kern w:val="0"/>
          <w:sz w:val="32"/>
          <w:szCs w:val="32"/>
          <w:lang w:val="en-US" w:eastAsia="zh-CN" w:bidi="ar"/>
        </w:rPr>
        <w:t>机关事业单位实施养老保险制度由单位实际缴纳的职业年金支出</w:t>
      </w:r>
      <w:r>
        <w:rPr>
          <w:rFonts w:hint="eastAsia" w:ascii="仿宋_GB2312" w:hAnsi="Times New Roman" w:eastAsia="仿宋_GB2312" w:cs="Times New Roman"/>
          <w:color w:val="auto"/>
          <w:kern w:val="0"/>
          <w:sz w:val="32"/>
          <w:szCs w:val="32"/>
          <w:lang w:val="en-US" w:eastAsia="zh-CN" w:bidi="ar"/>
        </w:rPr>
        <w:t>。</w:t>
      </w:r>
    </w:p>
    <w:p>
      <w:pPr>
        <w:pageBreakBefore w:val="0"/>
        <w:kinsoku/>
        <w:wordWrap/>
        <w:overflowPunct/>
        <w:topLinePunct w:val="0"/>
        <w:bidi w:val="0"/>
        <w:spacing w:line="560" w:lineRule="exact"/>
        <w:ind w:firstLine="640" w:firstLineChars="200"/>
        <w:textAlignment w:val="auto"/>
        <w:rPr>
          <w:rFonts w:hint="eastAsia" w:ascii="仿宋_GB2312" w:hAnsi="Times New Roman" w:eastAsia="仿宋_GB2312" w:cs="Times New Roman"/>
          <w:color w:val="auto"/>
          <w:kern w:val="0"/>
          <w:sz w:val="32"/>
          <w:szCs w:val="32"/>
          <w:lang w:val="en-US" w:eastAsia="zh-CN" w:bidi="ar"/>
        </w:rPr>
      </w:pPr>
      <w:r>
        <w:rPr>
          <w:rFonts w:hint="eastAsia" w:ascii="仿宋_GB2312" w:eastAsia="仿宋_GB2312" w:cs="Times New Roman"/>
          <w:color w:val="auto"/>
          <w:kern w:val="0"/>
          <w:sz w:val="32"/>
          <w:szCs w:val="32"/>
          <w:lang w:val="en-US" w:eastAsia="zh-CN" w:bidi="ar"/>
        </w:rPr>
        <w:t>11</w:t>
      </w:r>
      <w:r>
        <w:rPr>
          <w:rFonts w:hint="eastAsia" w:ascii="仿宋_GB2312" w:hAnsi="Times New Roman" w:eastAsia="仿宋_GB2312" w:cs="Times New Roman"/>
          <w:color w:val="auto"/>
          <w:kern w:val="0"/>
          <w:sz w:val="32"/>
          <w:szCs w:val="32"/>
          <w:lang w:val="en-US" w:eastAsia="zh-CN" w:bidi="ar"/>
        </w:rPr>
        <w:t>.</w:t>
      </w:r>
      <w:r>
        <w:rPr>
          <w:rFonts w:hint="eastAsia" w:ascii="仿宋_GB2312" w:eastAsia="仿宋_GB2312" w:cs="Times New Roman"/>
          <w:color w:val="auto"/>
          <w:kern w:val="0"/>
          <w:sz w:val="32"/>
          <w:szCs w:val="32"/>
          <w:lang w:val="en-US" w:eastAsia="zh-CN" w:bidi="ar"/>
        </w:rPr>
        <w:t>卫生健康</w:t>
      </w:r>
      <w:r>
        <w:rPr>
          <w:rFonts w:hint="eastAsia" w:ascii="仿宋_GB2312" w:hAnsi="Times New Roman" w:eastAsia="仿宋_GB2312" w:cs="Times New Roman"/>
          <w:color w:val="auto"/>
          <w:kern w:val="0"/>
          <w:sz w:val="32"/>
          <w:szCs w:val="32"/>
          <w:lang w:val="en-US" w:eastAsia="zh-CN" w:bidi="ar"/>
        </w:rPr>
        <w:t>支出（210）行政事业单位医疗（11）行政单位医疗（01）：指</w:t>
      </w:r>
      <w:r>
        <w:rPr>
          <w:rFonts w:hint="eastAsia" w:ascii="仿宋_GB2312" w:eastAsia="仿宋_GB2312" w:cs="Times New Roman"/>
          <w:color w:val="auto"/>
          <w:kern w:val="0"/>
          <w:sz w:val="32"/>
          <w:szCs w:val="32"/>
          <w:lang w:val="en-US" w:eastAsia="zh-CN" w:bidi="ar"/>
        </w:rPr>
        <w:t>财政部门安排的行政单位（包括实行公务员管理的事业单位）基本医疗保险缴费经费，未参加医疗保险的行政单位的公费医疗经费，按国家规定享受离休人员、红军老战士待遇的医疗经费</w:t>
      </w:r>
      <w:r>
        <w:rPr>
          <w:rFonts w:hint="eastAsia" w:ascii="仿宋_GB2312" w:hAnsi="Times New Roman" w:eastAsia="仿宋_GB2312" w:cs="Times New Roman"/>
          <w:color w:val="auto"/>
          <w:kern w:val="0"/>
          <w:sz w:val="32"/>
          <w:szCs w:val="32"/>
          <w:lang w:val="en-US" w:eastAsia="zh-CN" w:bidi="ar"/>
        </w:rPr>
        <w:t>。</w:t>
      </w:r>
    </w:p>
    <w:p>
      <w:pPr>
        <w:pageBreakBefore w:val="0"/>
        <w:kinsoku/>
        <w:wordWrap/>
        <w:overflowPunct/>
        <w:topLinePunct w:val="0"/>
        <w:bidi w:val="0"/>
        <w:spacing w:line="560" w:lineRule="exact"/>
        <w:ind w:firstLine="640" w:firstLineChars="200"/>
        <w:textAlignment w:val="auto"/>
        <w:rPr>
          <w:rFonts w:hint="eastAsia" w:ascii="仿宋_GB2312" w:hAnsi="Times New Roman" w:eastAsia="仿宋_GB2312" w:cs="Times New Roman"/>
          <w:color w:val="auto"/>
          <w:kern w:val="0"/>
          <w:sz w:val="32"/>
          <w:szCs w:val="32"/>
          <w:lang w:val="en-US" w:eastAsia="zh-CN" w:bidi="ar"/>
        </w:rPr>
      </w:pPr>
      <w:r>
        <w:rPr>
          <w:rFonts w:hint="eastAsia" w:ascii="仿宋_GB2312" w:hAnsi="Times New Roman" w:eastAsia="仿宋_GB2312" w:cs="Times New Roman"/>
          <w:color w:val="auto"/>
          <w:kern w:val="0"/>
          <w:sz w:val="32"/>
          <w:szCs w:val="32"/>
          <w:lang w:val="en-US" w:eastAsia="zh-CN" w:bidi="ar"/>
        </w:rPr>
        <w:t>1</w:t>
      </w:r>
      <w:r>
        <w:rPr>
          <w:rFonts w:hint="eastAsia" w:ascii="仿宋_GB2312" w:eastAsia="仿宋_GB2312" w:cs="Times New Roman"/>
          <w:color w:val="auto"/>
          <w:kern w:val="0"/>
          <w:sz w:val="32"/>
          <w:szCs w:val="32"/>
          <w:lang w:val="en-US" w:eastAsia="zh-CN" w:bidi="ar"/>
        </w:rPr>
        <w:t>2</w:t>
      </w:r>
      <w:r>
        <w:rPr>
          <w:rFonts w:hint="eastAsia" w:ascii="仿宋_GB2312" w:hAnsi="Times New Roman" w:eastAsia="仿宋_GB2312" w:cs="Times New Roman"/>
          <w:color w:val="auto"/>
          <w:kern w:val="0"/>
          <w:sz w:val="32"/>
          <w:szCs w:val="32"/>
          <w:lang w:val="en-US" w:eastAsia="zh-CN" w:bidi="ar"/>
        </w:rPr>
        <w:t>.住房保障支出（221）住房改革支出（02）住房公积金（01）：指</w:t>
      </w:r>
      <w:r>
        <w:rPr>
          <w:rFonts w:hint="eastAsia" w:ascii="仿宋_GB2312" w:eastAsia="仿宋_GB2312" w:cs="Times New Roman"/>
          <w:color w:val="auto"/>
          <w:kern w:val="0"/>
          <w:sz w:val="32"/>
          <w:szCs w:val="32"/>
          <w:lang w:val="en-US" w:eastAsia="zh-CN" w:bidi="ar"/>
        </w:rPr>
        <w:t>行政事业单位按人力资源和社会保障部、财政部规定的基本工资、津贴补贴以及规定比例为职工缴纳的住房公积金</w:t>
      </w:r>
      <w:r>
        <w:rPr>
          <w:rFonts w:hint="eastAsia" w:ascii="仿宋_GB2312" w:hAnsi="Times New Roman" w:eastAsia="仿宋_GB2312" w:cs="Times New Roman"/>
          <w:color w:val="auto"/>
          <w:kern w:val="0"/>
          <w:sz w:val="32"/>
          <w:szCs w:val="32"/>
          <w:lang w:val="en-US" w:eastAsia="zh-CN" w:bidi="ar"/>
        </w:rPr>
        <w:t>。</w:t>
      </w:r>
    </w:p>
    <w:p>
      <w:pPr>
        <w:pageBreakBefore w:val="0"/>
        <w:kinsoku/>
        <w:wordWrap/>
        <w:overflowPunct/>
        <w:topLinePunct w:val="0"/>
        <w:bidi w:val="0"/>
        <w:spacing w:line="560" w:lineRule="exact"/>
        <w:ind w:firstLine="640" w:firstLineChars="200"/>
        <w:textAlignment w:val="auto"/>
        <w:rPr>
          <w:rFonts w:hint="eastAsia" w:ascii="仿宋_GB2312" w:hAnsi="Times New Roman" w:eastAsia="仿宋_GB2312" w:cs="Times New Roman"/>
          <w:color w:val="auto"/>
          <w:kern w:val="0"/>
          <w:sz w:val="32"/>
          <w:szCs w:val="32"/>
          <w:lang w:val="en-US" w:eastAsia="zh-CN" w:bidi="ar"/>
        </w:rPr>
      </w:pPr>
      <w:r>
        <w:rPr>
          <w:rFonts w:hint="eastAsia" w:ascii="仿宋_GB2312" w:eastAsia="仿宋_GB2312" w:cs="Times New Roman"/>
          <w:color w:val="auto"/>
          <w:kern w:val="0"/>
          <w:sz w:val="32"/>
          <w:szCs w:val="32"/>
          <w:lang w:val="en-US" w:eastAsia="zh-CN" w:bidi="ar"/>
        </w:rPr>
        <w:t>13</w:t>
      </w:r>
      <w:r>
        <w:rPr>
          <w:rFonts w:hint="eastAsia" w:ascii="仿宋_GB2312" w:hAnsi="Times New Roman" w:eastAsia="仿宋_GB2312" w:cs="Times New Roman"/>
          <w:color w:val="auto"/>
          <w:kern w:val="0"/>
          <w:sz w:val="32"/>
          <w:szCs w:val="32"/>
          <w:lang w:val="en-US" w:eastAsia="zh-CN" w:bidi="ar"/>
        </w:rPr>
        <w:t>.基本支出：指为保障机构正常运转、完成日常工作任务而发生的人员支出和公用支出。</w:t>
      </w:r>
    </w:p>
    <w:p>
      <w:pPr>
        <w:pageBreakBefore w:val="0"/>
        <w:kinsoku/>
        <w:wordWrap/>
        <w:overflowPunct/>
        <w:topLinePunct w:val="0"/>
        <w:bidi w:val="0"/>
        <w:spacing w:line="560" w:lineRule="exact"/>
        <w:ind w:firstLine="640" w:firstLineChars="200"/>
        <w:textAlignment w:val="auto"/>
        <w:rPr>
          <w:rFonts w:hint="eastAsia" w:ascii="仿宋_GB2312" w:hAnsi="Times New Roman" w:eastAsia="仿宋_GB2312" w:cs="Times New Roman"/>
          <w:color w:val="auto"/>
          <w:kern w:val="0"/>
          <w:sz w:val="32"/>
          <w:szCs w:val="32"/>
          <w:lang w:val="en-US" w:eastAsia="zh-CN" w:bidi="ar"/>
        </w:rPr>
      </w:pPr>
      <w:r>
        <w:rPr>
          <w:rFonts w:hint="eastAsia" w:ascii="仿宋_GB2312" w:eastAsia="仿宋_GB2312" w:cs="Times New Roman"/>
          <w:color w:val="auto"/>
          <w:kern w:val="0"/>
          <w:sz w:val="32"/>
          <w:szCs w:val="32"/>
          <w:lang w:val="en-US" w:eastAsia="zh-CN" w:bidi="ar"/>
        </w:rPr>
        <w:t>14</w:t>
      </w:r>
      <w:r>
        <w:rPr>
          <w:rFonts w:hint="eastAsia" w:ascii="仿宋_GB2312" w:hAnsi="Times New Roman" w:eastAsia="仿宋_GB2312" w:cs="Times New Roman"/>
          <w:color w:val="auto"/>
          <w:kern w:val="0"/>
          <w:sz w:val="32"/>
          <w:szCs w:val="32"/>
          <w:lang w:val="en-US" w:eastAsia="zh-CN" w:bidi="ar"/>
        </w:rPr>
        <w:t>.项目支出：指在基本支出之外为完成特定行政任务和事业发展目标所发生的支出。</w:t>
      </w:r>
    </w:p>
    <w:p>
      <w:pPr>
        <w:pStyle w:val="34"/>
        <w:pageBreakBefore w:val="0"/>
        <w:kinsoku/>
        <w:wordWrap/>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15</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4"/>
        <w:pageBreakBefore w:val="0"/>
        <w:kinsoku/>
        <w:wordWrap/>
        <w:overflowPunct/>
        <w:topLinePunct w:val="0"/>
        <w:bidi w:val="0"/>
        <w:spacing w:line="560" w:lineRule="exact"/>
        <w:ind w:firstLine="640" w:firstLineChars="200"/>
        <w:textAlignment w:val="auto"/>
        <w:rPr>
          <w:rFonts w:ascii="仿宋_GB2312" w:eastAsia="仿宋_GB2312" w:cs="黑体"/>
          <w:sz w:val="32"/>
          <w:szCs w:val="32"/>
        </w:rPr>
      </w:pPr>
      <w:r>
        <w:rPr>
          <w:rFonts w:hint="eastAsia" w:ascii="仿宋_GB2312" w:eastAsia="仿宋_GB2312"/>
          <w:sz w:val="32"/>
          <w:szCs w:val="32"/>
          <w:lang w:val="en-US" w:eastAsia="zh-CN"/>
        </w:rPr>
        <w:t>16</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24"/>
          <w:rFonts w:ascii="黑体" w:hAnsi="黑体" w:eastAsia="黑体"/>
          <w:b w:val="0"/>
        </w:rPr>
      </w:pPr>
      <w:bookmarkStart w:id="117" w:name="_Toc11143"/>
      <w:r>
        <w:rPr>
          <w:rFonts w:hint="eastAsia" w:ascii="黑体" w:hAnsi="黑体" w:eastAsia="黑体"/>
          <w:color w:val="000000"/>
          <w:sz w:val="44"/>
          <w:szCs w:val="44"/>
        </w:rPr>
        <w:t>第</w:t>
      </w:r>
      <w:r>
        <w:rPr>
          <w:rStyle w:val="24"/>
          <w:rFonts w:hint="eastAsia" w:ascii="黑体" w:hAnsi="黑体" w:eastAsia="黑体"/>
          <w:b w:val="0"/>
        </w:rPr>
        <w:t>四部分</w:t>
      </w:r>
      <w:r>
        <w:rPr>
          <w:rStyle w:val="24"/>
          <w:rFonts w:ascii="黑体" w:hAnsi="黑体" w:eastAsia="黑体"/>
          <w:b w:val="0"/>
        </w:rPr>
        <w:t xml:space="preserve"> </w:t>
      </w:r>
      <w:r>
        <w:rPr>
          <w:rStyle w:val="24"/>
          <w:rFonts w:hint="eastAsia" w:ascii="黑体" w:hAnsi="黑体" w:eastAsia="黑体"/>
          <w:b w:val="0"/>
        </w:rPr>
        <w:t>附件</w:t>
      </w:r>
      <w:bookmarkEnd w:id="114"/>
      <w:bookmarkEnd w:id="115"/>
      <w:bookmarkEnd w:id="117"/>
    </w:p>
    <w:p>
      <w:pPr>
        <w:pageBreakBefore w:val="0"/>
        <w:kinsoku/>
        <w:wordWrap/>
        <w:overflowPunct/>
        <w:topLinePunct w:val="0"/>
        <w:bidi w:val="0"/>
        <w:spacing w:line="560" w:lineRule="exact"/>
        <w:jc w:val="center"/>
        <w:textAlignment w:val="auto"/>
        <w:rPr>
          <w:rFonts w:hint="eastAsia" w:ascii="方正小标宋简体" w:hAnsi="宋体" w:eastAsia="方正小标宋简体"/>
          <w:color w:val="000000"/>
          <w:kern w:val="0"/>
          <w:sz w:val="44"/>
          <w:szCs w:val="44"/>
          <w:lang w:val="en-US" w:eastAsia="zh-CN"/>
        </w:rPr>
      </w:pPr>
      <w:r>
        <w:rPr>
          <w:rFonts w:hint="eastAsia" w:ascii="方正小标宋简体" w:hAnsi="宋体" w:eastAsia="方正小标宋简体"/>
          <w:color w:val="000000"/>
          <w:kern w:val="0"/>
          <w:sz w:val="44"/>
          <w:szCs w:val="44"/>
          <w:lang w:val="en-US" w:eastAsia="zh-CN"/>
        </w:rPr>
        <w:t>壤塘县人民检察院</w:t>
      </w:r>
    </w:p>
    <w:p>
      <w:pPr>
        <w:pageBreakBefore w:val="0"/>
        <w:kinsoku/>
        <w:wordWrap/>
        <w:overflowPunct/>
        <w:topLinePunct w:val="0"/>
        <w:bidi w:val="0"/>
        <w:spacing w:line="560" w:lineRule="exact"/>
        <w:jc w:val="center"/>
        <w:textAlignment w:val="auto"/>
        <w:rPr>
          <w:rFonts w:ascii="黑体" w:hAnsi="宋体" w:eastAsia="黑体" w:cs="宋体"/>
          <w:color w:val="000000"/>
          <w:kern w:val="0"/>
          <w:sz w:val="44"/>
          <w:szCs w:val="44"/>
          <w:shd w:val="clear" w:color="auto" w:fill="FFFFFF"/>
        </w:rPr>
      </w:pPr>
      <w:r>
        <w:rPr>
          <w:rFonts w:ascii="方正小标宋简体" w:hAnsi="宋体" w:eastAsia="方正小标宋简体"/>
          <w:color w:val="000000"/>
          <w:kern w:val="0"/>
          <w:sz w:val="44"/>
          <w:szCs w:val="44"/>
        </w:rPr>
        <w:t>20</w:t>
      </w:r>
      <w:r>
        <w:rPr>
          <w:rFonts w:hint="eastAsia" w:ascii="方正小标宋简体" w:hAnsi="宋体" w:eastAsia="方正小标宋简体"/>
          <w:color w:val="000000"/>
          <w:kern w:val="0"/>
          <w:sz w:val="44"/>
          <w:szCs w:val="44"/>
          <w:lang w:val="en-US" w:eastAsia="zh-CN"/>
        </w:rPr>
        <w:t>21</w:t>
      </w:r>
      <w:r>
        <w:rPr>
          <w:rFonts w:ascii="方正小标宋简体" w:hAnsi="宋体" w:eastAsia="方正小标宋简体"/>
          <w:color w:val="000000"/>
          <w:kern w:val="0"/>
          <w:sz w:val="44"/>
          <w:szCs w:val="44"/>
        </w:rPr>
        <w:t>年部门</w:t>
      </w:r>
      <w:r>
        <w:rPr>
          <w:rFonts w:hint="eastAsia" w:ascii="方正小标宋简体" w:hAnsi="宋体" w:eastAsia="方正小标宋简体"/>
          <w:color w:val="000000"/>
          <w:kern w:val="0"/>
          <w:sz w:val="44"/>
          <w:szCs w:val="44"/>
          <w:lang w:val="zh-CN"/>
        </w:rPr>
        <w:t>整体支出绩效评价报告</w:t>
      </w:r>
    </w:p>
    <w:p>
      <w:pPr>
        <w:pageBreakBefore w:val="0"/>
        <w:widowControl/>
        <w:kinsoku/>
        <w:wordWrap/>
        <w:overflowPunct/>
        <w:topLinePunct w:val="0"/>
        <w:bidi w:val="0"/>
        <w:adjustRightInd w:val="0"/>
        <w:snapToGrid w:val="0"/>
        <w:spacing w:line="560" w:lineRule="exact"/>
        <w:ind w:firstLine="640" w:firstLineChars="200"/>
        <w:contextualSpacing/>
        <w:jc w:val="left"/>
        <w:textAlignment w:val="auto"/>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单位概况</w:t>
      </w:r>
    </w:p>
    <w:p>
      <w:pPr>
        <w:pageBreakBefore w:val="0"/>
        <w:widowControl/>
        <w:kinsoku/>
        <w:wordWrap/>
        <w:overflowPunct/>
        <w:topLinePunct w:val="0"/>
        <w:bidi w:val="0"/>
        <w:adjustRightInd w:val="0"/>
        <w:snapToGrid w:val="0"/>
        <w:spacing w:line="560" w:lineRule="exact"/>
        <w:ind w:firstLine="643" w:firstLineChars="200"/>
        <w:contextualSpacing/>
        <w:jc w:val="left"/>
        <w:textAlignment w:val="auto"/>
        <w:rPr>
          <w:rFonts w:hint="eastAsia" w:ascii="仿宋_GB2312" w:hAnsi="宋体" w:eastAsia="仿宋_GB2312" w:cs="宋体"/>
          <w:color w:val="000000"/>
          <w:kern w:val="0"/>
          <w:sz w:val="32"/>
          <w:szCs w:val="32"/>
          <w:shd w:val="clear" w:color="auto" w:fill="FFFFFF"/>
          <w:lang w:val="zh-CN"/>
        </w:rPr>
      </w:pPr>
      <w:r>
        <w:rPr>
          <w:rFonts w:hint="eastAsia" w:ascii="楷体_GB2312" w:hAnsi="楷体_GB2312" w:eastAsia="楷体_GB2312" w:cs="楷体_GB2312"/>
          <w:b/>
          <w:bCs/>
          <w:color w:val="000000"/>
          <w:kern w:val="0"/>
          <w:sz w:val="32"/>
          <w:szCs w:val="32"/>
          <w:shd w:val="clear" w:color="auto" w:fill="FFFFFF"/>
          <w:lang w:val="zh-CN"/>
        </w:rPr>
        <w:t>（一）机构组成</w:t>
      </w:r>
    </w:p>
    <w:p>
      <w:pPr>
        <w:pageBreakBefore w:val="0"/>
        <w:widowControl/>
        <w:kinsoku/>
        <w:wordWrap/>
        <w:overflowPunct/>
        <w:topLinePunct w:val="0"/>
        <w:bidi w:val="0"/>
        <w:adjustRightInd w:val="0"/>
        <w:snapToGrid w:val="0"/>
        <w:spacing w:line="560" w:lineRule="exact"/>
        <w:ind w:left="638" w:leftChars="304" w:firstLine="0" w:firstLineChars="0"/>
        <w:contextualSpacing/>
        <w:jc w:val="left"/>
        <w:textAlignment w:val="auto"/>
        <w:rPr>
          <w:rFonts w:hint="eastAsia" w:ascii="楷体_GB2312" w:hAnsi="楷体_GB2312" w:eastAsia="楷体_GB2312" w:cs="楷体_GB2312"/>
          <w:b/>
          <w:bCs/>
          <w:color w:val="000000"/>
          <w:kern w:val="0"/>
          <w:sz w:val="32"/>
          <w:szCs w:val="32"/>
          <w:shd w:val="clear" w:color="auto" w:fill="FFFFFF"/>
          <w:lang w:val="zh-CN"/>
        </w:rPr>
      </w:pPr>
      <w:r>
        <w:rPr>
          <w:rFonts w:hint="eastAsia" w:ascii="仿宋_GB2312" w:hAnsi="仿宋_GB2312" w:eastAsia="仿宋_GB2312" w:cs="仿宋_GB2312"/>
          <w:bCs/>
          <w:color w:val="000000"/>
          <w:kern w:val="0"/>
          <w:sz w:val="32"/>
          <w:szCs w:val="32"/>
          <w:lang w:val="en-US" w:eastAsia="zh-CN" w:bidi="ar-SA"/>
        </w:rPr>
        <w:t>壤塘县人民检察院属一级单位，无下属二级预算单位。</w:t>
      </w:r>
      <w:r>
        <w:rPr>
          <w:rFonts w:hint="eastAsia" w:ascii="楷体_GB2312" w:hAnsi="楷体_GB2312" w:eastAsia="楷体_GB2312" w:cs="楷体_GB2312"/>
          <w:b/>
          <w:bCs/>
          <w:color w:val="000000"/>
          <w:kern w:val="0"/>
          <w:sz w:val="32"/>
          <w:szCs w:val="32"/>
          <w:shd w:val="clear" w:color="auto" w:fill="FFFFFF"/>
          <w:lang w:val="zh-CN"/>
        </w:rPr>
        <w:t>（二）机构职能</w:t>
      </w:r>
    </w:p>
    <w:p>
      <w:pPr>
        <w:pStyle w:val="3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 xml:space="preserve"> </w:t>
      </w:r>
      <w:r>
        <w:rPr>
          <w:rFonts w:hint="eastAsia" w:ascii="仿宋_GB2312" w:eastAsia="仿宋_GB2312"/>
          <w:color w:val="000000"/>
          <w:sz w:val="32"/>
          <w:szCs w:val="32"/>
        </w:rPr>
        <w:t>深入贯彻习近平新时代中国特色社会主义思想，深入贯彻党的路线方针政策和决策部署，统一检察队伍思想和行动，坚持党对检察工作的绝对领导，坚决维护党中央权威和集中统一领导。依法向</w:t>
      </w:r>
      <w:r>
        <w:rPr>
          <w:rFonts w:hint="eastAsia" w:ascii="仿宋_GB2312" w:eastAsia="仿宋_GB2312"/>
          <w:color w:val="000000"/>
          <w:sz w:val="32"/>
          <w:szCs w:val="32"/>
          <w:lang w:val="en-US" w:eastAsia="zh-CN"/>
        </w:rPr>
        <w:t>壤塘</w:t>
      </w:r>
      <w:r>
        <w:rPr>
          <w:rFonts w:hint="eastAsia" w:ascii="仿宋_GB2312" w:eastAsia="仿宋_GB2312"/>
          <w:color w:val="000000"/>
          <w:sz w:val="32"/>
          <w:szCs w:val="32"/>
        </w:rPr>
        <w:t>县人民代表大会及其常务委员会提出议案。按照上级检察机关确定的工作方针，研究制定</w:t>
      </w:r>
      <w:r>
        <w:rPr>
          <w:rFonts w:hint="eastAsia" w:ascii="仿宋_GB2312" w:eastAsia="仿宋_GB2312"/>
          <w:color w:val="000000"/>
          <w:sz w:val="32"/>
          <w:szCs w:val="32"/>
          <w:lang w:val="en-US" w:eastAsia="zh-CN"/>
        </w:rPr>
        <w:t>壤塘</w:t>
      </w:r>
      <w:r>
        <w:rPr>
          <w:rFonts w:hint="eastAsia" w:ascii="仿宋_GB2312" w:eastAsia="仿宋_GB2312"/>
          <w:color w:val="000000"/>
          <w:sz w:val="32"/>
          <w:szCs w:val="32"/>
        </w:rPr>
        <w:t>县人民检察院检察工作规划，部署检察工作任务。对刑事案件依法审查批准逮捕、决定逮捕、提起公诉。负责应由</w:t>
      </w:r>
      <w:r>
        <w:rPr>
          <w:rFonts w:hint="eastAsia" w:ascii="仿宋_GB2312" w:eastAsia="仿宋_GB2312"/>
          <w:color w:val="000000"/>
          <w:sz w:val="32"/>
          <w:szCs w:val="32"/>
          <w:lang w:val="en-US" w:eastAsia="zh-CN"/>
        </w:rPr>
        <w:t>壤塘</w:t>
      </w:r>
      <w:r>
        <w:rPr>
          <w:rFonts w:hint="eastAsia" w:ascii="仿宋_GB2312" w:eastAsia="仿宋_GB2312"/>
          <w:color w:val="000000"/>
          <w:sz w:val="32"/>
          <w:szCs w:val="32"/>
        </w:rPr>
        <w:t>县人民检察院承办的刑事、民事、行政诉讼活动及刑事、民事、行政判决和裁定等生效法律文书执行的法律监督工作。负责应由</w:t>
      </w:r>
      <w:r>
        <w:rPr>
          <w:rFonts w:hint="eastAsia" w:ascii="仿宋_GB2312" w:eastAsia="仿宋_GB2312"/>
          <w:color w:val="000000"/>
          <w:sz w:val="32"/>
          <w:szCs w:val="32"/>
          <w:lang w:val="en-US" w:eastAsia="zh-CN"/>
        </w:rPr>
        <w:t>壤塘</w:t>
      </w:r>
      <w:r>
        <w:rPr>
          <w:rFonts w:hint="eastAsia" w:ascii="仿宋_GB2312" w:eastAsia="仿宋_GB2312"/>
          <w:color w:val="000000"/>
          <w:sz w:val="32"/>
          <w:szCs w:val="32"/>
        </w:rPr>
        <w:t>县人民检察院承办的提起公益诉讼工作。负责应由</w:t>
      </w:r>
      <w:r>
        <w:rPr>
          <w:rFonts w:hint="eastAsia" w:ascii="仿宋_GB2312" w:eastAsia="仿宋_GB2312"/>
          <w:color w:val="000000"/>
          <w:sz w:val="32"/>
          <w:szCs w:val="32"/>
          <w:lang w:val="en-US" w:eastAsia="zh-CN"/>
        </w:rPr>
        <w:t>壤塘</w:t>
      </w:r>
      <w:r>
        <w:rPr>
          <w:rFonts w:hint="eastAsia" w:ascii="仿宋_GB2312" w:eastAsia="仿宋_GB2312"/>
          <w:color w:val="000000"/>
          <w:sz w:val="32"/>
          <w:szCs w:val="32"/>
        </w:rPr>
        <w:t>县人民检察院承办的对看守所等执法活动的法律监督工作。受理向</w:t>
      </w:r>
      <w:r>
        <w:rPr>
          <w:rFonts w:hint="eastAsia" w:ascii="仿宋_GB2312" w:eastAsia="仿宋_GB2312"/>
          <w:color w:val="000000"/>
          <w:sz w:val="32"/>
          <w:szCs w:val="32"/>
          <w:lang w:val="en-US" w:eastAsia="zh-CN"/>
        </w:rPr>
        <w:t>壤塘</w:t>
      </w:r>
      <w:r>
        <w:rPr>
          <w:rFonts w:hint="eastAsia" w:ascii="仿宋_GB2312" w:eastAsia="仿宋_GB2312"/>
          <w:color w:val="000000"/>
          <w:sz w:val="32"/>
          <w:szCs w:val="32"/>
        </w:rPr>
        <w:t>县人民检察院的控告申诉。开展检察机关的理论研究工作。负责</w:t>
      </w:r>
      <w:r>
        <w:rPr>
          <w:rFonts w:hint="eastAsia" w:ascii="仿宋_GB2312" w:eastAsia="仿宋_GB2312"/>
          <w:color w:val="000000"/>
          <w:sz w:val="32"/>
          <w:szCs w:val="32"/>
          <w:lang w:val="en-US" w:eastAsia="zh-CN"/>
        </w:rPr>
        <w:t>壤塘</w:t>
      </w:r>
      <w:r>
        <w:rPr>
          <w:rFonts w:hint="eastAsia" w:ascii="仿宋_GB2312" w:eastAsia="仿宋_GB2312"/>
          <w:color w:val="000000"/>
          <w:sz w:val="32"/>
          <w:szCs w:val="32"/>
        </w:rPr>
        <w:t>县人民检察院队伍建设和思想政治工作。依法管理检察官及其他检察人员的工作，协同地方主管部门管理人民检察院的机构设置及人员编制，制定相关人员管理办法，组织开展</w:t>
      </w:r>
      <w:r>
        <w:rPr>
          <w:rFonts w:hint="eastAsia" w:ascii="仿宋_GB2312" w:eastAsia="仿宋_GB2312"/>
          <w:color w:val="000000"/>
          <w:sz w:val="32"/>
          <w:szCs w:val="32"/>
          <w:lang w:val="en-US" w:eastAsia="zh-CN"/>
        </w:rPr>
        <w:t>壤塘</w:t>
      </w:r>
      <w:r>
        <w:rPr>
          <w:rFonts w:hint="eastAsia" w:ascii="仿宋_GB2312" w:eastAsia="仿宋_GB2312"/>
          <w:color w:val="000000"/>
          <w:sz w:val="32"/>
          <w:szCs w:val="32"/>
        </w:rPr>
        <w:t>县人民检察院教育培训工作。协同地方党委主管部门管理和考核除检察长和其他领导班子成员以外的检察机关工作人员。开展</w:t>
      </w:r>
      <w:r>
        <w:rPr>
          <w:rFonts w:hint="eastAsia" w:ascii="仿宋_GB2312" w:eastAsia="仿宋_GB2312"/>
          <w:color w:val="000000"/>
          <w:sz w:val="32"/>
          <w:szCs w:val="32"/>
          <w:lang w:val="en-US" w:eastAsia="zh-CN"/>
        </w:rPr>
        <w:t>壤塘</w:t>
      </w:r>
      <w:r>
        <w:rPr>
          <w:rFonts w:hint="eastAsia" w:ascii="仿宋_GB2312" w:eastAsia="仿宋_GB2312"/>
          <w:color w:val="000000"/>
          <w:sz w:val="32"/>
          <w:szCs w:val="32"/>
        </w:rPr>
        <w:t>县人民检察院的检务督察工作。开展</w:t>
      </w:r>
      <w:r>
        <w:rPr>
          <w:rFonts w:hint="eastAsia" w:ascii="仿宋_GB2312" w:eastAsia="仿宋_GB2312"/>
          <w:color w:val="000000"/>
          <w:sz w:val="32"/>
          <w:szCs w:val="32"/>
          <w:lang w:val="en-US" w:eastAsia="zh-CN"/>
        </w:rPr>
        <w:t>壤塘</w:t>
      </w:r>
      <w:r>
        <w:rPr>
          <w:rFonts w:hint="eastAsia" w:ascii="仿宋_GB2312" w:eastAsia="仿宋_GB2312"/>
          <w:color w:val="000000"/>
          <w:sz w:val="32"/>
          <w:szCs w:val="32"/>
        </w:rPr>
        <w:t>县人民检察院的财务装备、检察技术信息工作。负责其他应由</w:t>
      </w:r>
      <w:r>
        <w:rPr>
          <w:rFonts w:hint="eastAsia" w:ascii="仿宋_GB2312" w:eastAsia="仿宋_GB2312"/>
          <w:color w:val="000000"/>
          <w:sz w:val="32"/>
          <w:szCs w:val="32"/>
          <w:lang w:val="en-US" w:eastAsia="zh-CN"/>
        </w:rPr>
        <w:t>壤塘</w:t>
      </w:r>
      <w:r>
        <w:rPr>
          <w:rFonts w:hint="eastAsia" w:ascii="仿宋_GB2312" w:eastAsia="仿宋_GB2312"/>
          <w:color w:val="000000"/>
          <w:sz w:val="32"/>
          <w:szCs w:val="32"/>
        </w:rPr>
        <w:t>县人民检察院承办的事项。</w:t>
      </w:r>
    </w:p>
    <w:p>
      <w:pPr>
        <w:pageBreakBefore w:val="0"/>
        <w:widowControl/>
        <w:numPr>
          <w:ilvl w:val="0"/>
          <w:numId w:val="0"/>
        </w:numPr>
        <w:kinsoku/>
        <w:wordWrap/>
        <w:overflowPunct/>
        <w:topLinePunct w:val="0"/>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000000"/>
          <w:kern w:val="0"/>
          <w:sz w:val="32"/>
          <w:szCs w:val="32"/>
          <w:shd w:val="clear" w:color="auto" w:fill="FFFFFF"/>
          <w:lang w:val="zh-CN"/>
        </w:rPr>
      </w:pPr>
      <w:r>
        <w:rPr>
          <w:rFonts w:hint="eastAsia" w:ascii="楷体_GB2312" w:hAnsi="楷体_GB2312" w:eastAsia="楷体_GB2312" w:cs="楷体_GB2312"/>
          <w:b/>
          <w:bCs/>
          <w:color w:val="000000"/>
          <w:kern w:val="0"/>
          <w:sz w:val="32"/>
          <w:szCs w:val="32"/>
          <w:shd w:val="clear" w:color="auto" w:fill="FFFFFF"/>
          <w:lang w:val="zh-CN"/>
        </w:rPr>
        <w:t>（三）人员概况</w:t>
      </w:r>
    </w:p>
    <w:p>
      <w:pPr>
        <w:pageBreakBefore w:val="0"/>
        <w:widowControl/>
        <w:numPr>
          <w:ilvl w:val="0"/>
          <w:numId w:val="0"/>
        </w:numPr>
        <w:kinsoku/>
        <w:wordWrap/>
        <w:overflowPunct/>
        <w:topLinePunct w:val="0"/>
        <w:bidi w:val="0"/>
        <w:adjustRightInd w:val="0"/>
        <w:snapToGrid w:val="0"/>
        <w:spacing w:line="560" w:lineRule="exact"/>
        <w:contextualSpacing/>
        <w:jc w:val="left"/>
        <w:textAlignment w:val="auto"/>
        <w:rPr>
          <w:rFonts w:hint="default"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 xml:space="preserve">    </w:t>
      </w:r>
      <w:r>
        <w:rPr>
          <w:rFonts w:hint="eastAsia" w:ascii="仿宋_GB2312" w:hAnsi="宋体" w:eastAsia="仿宋_GB2312"/>
          <w:sz w:val="32"/>
          <w:szCs w:val="32"/>
          <w:lang w:eastAsia="zh-CN"/>
        </w:rPr>
        <w:t>壤塘县人民检察院编制数政法专项编制数</w:t>
      </w:r>
      <w:r>
        <w:rPr>
          <w:rFonts w:hint="eastAsia" w:ascii="仿宋_GB2312" w:hAnsi="宋体" w:eastAsia="仿宋_GB2312"/>
          <w:sz w:val="32"/>
          <w:szCs w:val="32"/>
          <w:lang w:val="en-US" w:eastAsia="zh-CN"/>
        </w:rPr>
        <w:t>22</w:t>
      </w:r>
      <w:r>
        <w:rPr>
          <w:rFonts w:hint="eastAsia" w:ascii="仿宋_GB2312" w:hAnsi="宋体" w:eastAsia="仿宋_GB2312"/>
          <w:sz w:val="32"/>
          <w:szCs w:val="32"/>
          <w:lang w:eastAsia="zh-CN"/>
        </w:rPr>
        <w:t>名，工勤编制数</w:t>
      </w:r>
      <w:r>
        <w:rPr>
          <w:rFonts w:hint="eastAsia" w:ascii="仿宋_GB2312" w:hAnsi="宋体" w:eastAsia="仿宋_GB2312"/>
          <w:sz w:val="32"/>
          <w:szCs w:val="32"/>
          <w:lang w:val="en-US" w:eastAsia="zh-CN"/>
        </w:rPr>
        <w:t>2</w:t>
      </w:r>
      <w:r>
        <w:rPr>
          <w:rFonts w:hint="eastAsia" w:ascii="仿宋_GB2312" w:hAnsi="宋体" w:eastAsia="仿宋_GB2312"/>
          <w:sz w:val="32"/>
          <w:szCs w:val="32"/>
          <w:lang w:eastAsia="zh-CN"/>
        </w:rPr>
        <w:t>名，聘用制书记员（编外）</w:t>
      </w:r>
      <w:r>
        <w:rPr>
          <w:rFonts w:hint="eastAsia" w:ascii="仿宋_GB2312" w:hAnsi="宋体" w:eastAsia="仿宋_GB2312"/>
          <w:sz w:val="32"/>
          <w:szCs w:val="32"/>
          <w:lang w:val="en-US" w:eastAsia="zh-CN"/>
        </w:rPr>
        <w:t>7人</w:t>
      </w:r>
      <w:r>
        <w:rPr>
          <w:rFonts w:hint="eastAsia" w:ascii="仿宋_GB2312" w:hAnsi="宋体" w:eastAsia="仿宋_GB2312"/>
          <w:sz w:val="32"/>
          <w:szCs w:val="32"/>
          <w:lang w:eastAsia="zh-CN"/>
        </w:rPr>
        <w:t>，其中：行政编制</w:t>
      </w:r>
      <w:r>
        <w:rPr>
          <w:rFonts w:hint="eastAsia" w:ascii="仿宋_GB2312" w:hAnsi="宋体" w:eastAsia="仿宋_GB2312"/>
          <w:sz w:val="32"/>
          <w:szCs w:val="32"/>
          <w:lang w:val="en-US" w:eastAsia="zh-CN"/>
        </w:rPr>
        <w:t>24</w:t>
      </w:r>
      <w:r>
        <w:rPr>
          <w:rFonts w:hint="eastAsia" w:ascii="仿宋_GB2312" w:hAnsi="宋体" w:eastAsia="仿宋_GB2312"/>
          <w:sz w:val="32"/>
          <w:szCs w:val="32"/>
          <w:lang w:eastAsia="zh-CN"/>
        </w:rPr>
        <w:t>人、全额事业编制</w:t>
      </w:r>
      <w:r>
        <w:rPr>
          <w:rFonts w:hint="eastAsia" w:ascii="仿宋_GB2312" w:hAnsi="宋体" w:eastAsia="仿宋_GB2312"/>
          <w:sz w:val="32"/>
          <w:szCs w:val="32"/>
          <w:lang w:val="en-US" w:eastAsia="zh-CN"/>
        </w:rPr>
        <w:t>0</w:t>
      </w:r>
      <w:r>
        <w:rPr>
          <w:rFonts w:hint="eastAsia" w:ascii="仿宋_GB2312" w:hAnsi="宋体" w:eastAsia="仿宋_GB2312"/>
          <w:sz w:val="32"/>
          <w:szCs w:val="32"/>
          <w:lang w:eastAsia="zh-CN"/>
        </w:rPr>
        <w:t>人。在职人数</w:t>
      </w:r>
      <w:r>
        <w:rPr>
          <w:rFonts w:hint="eastAsia" w:ascii="仿宋_GB2312" w:hAnsi="宋体" w:eastAsia="仿宋_GB2312"/>
          <w:sz w:val="32"/>
          <w:szCs w:val="32"/>
          <w:lang w:val="en-US" w:eastAsia="zh-CN"/>
        </w:rPr>
        <w:t>23</w:t>
      </w:r>
      <w:r>
        <w:rPr>
          <w:rFonts w:hint="eastAsia" w:ascii="仿宋_GB2312" w:hAnsi="宋体" w:eastAsia="仿宋_GB2312"/>
          <w:sz w:val="32"/>
          <w:szCs w:val="32"/>
          <w:lang w:eastAsia="zh-CN"/>
        </w:rPr>
        <w:t>人,聘用制书记员（编外）</w:t>
      </w:r>
      <w:r>
        <w:rPr>
          <w:rFonts w:hint="eastAsia" w:ascii="仿宋_GB2312" w:hAnsi="宋体" w:eastAsia="仿宋_GB2312"/>
          <w:sz w:val="32"/>
          <w:szCs w:val="32"/>
          <w:lang w:val="en-US" w:eastAsia="zh-CN"/>
        </w:rPr>
        <w:t>7人，</w:t>
      </w:r>
      <w:r>
        <w:rPr>
          <w:rFonts w:hint="eastAsia" w:ascii="仿宋_GB2312" w:hAnsi="宋体" w:eastAsia="仿宋_GB2312"/>
          <w:sz w:val="32"/>
          <w:szCs w:val="32"/>
          <w:lang w:eastAsia="zh-CN"/>
        </w:rPr>
        <w:t>离休人员</w:t>
      </w:r>
      <w:r>
        <w:rPr>
          <w:rFonts w:hint="eastAsia" w:ascii="仿宋_GB2312" w:hAnsi="宋体" w:eastAsia="仿宋_GB2312"/>
          <w:sz w:val="32"/>
          <w:szCs w:val="32"/>
          <w:lang w:val="en-US" w:eastAsia="zh-CN"/>
        </w:rPr>
        <w:t>1</w:t>
      </w:r>
      <w:r>
        <w:rPr>
          <w:rFonts w:hint="eastAsia" w:ascii="仿宋_GB2312" w:hAnsi="宋体" w:eastAsia="仿宋_GB2312"/>
          <w:sz w:val="32"/>
          <w:szCs w:val="32"/>
          <w:lang w:eastAsia="zh-CN"/>
        </w:rPr>
        <w:t>人，退休人员</w:t>
      </w:r>
      <w:r>
        <w:rPr>
          <w:rFonts w:hint="eastAsia" w:ascii="仿宋_GB2312" w:hAnsi="宋体" w:eastAsia="仿宋_GB2312"/>
          <w:sz w:val="32"/>
          <w:szCs w:val="32"/>
          <w:lang w:val="en-US" w:eastAsia="zh-CN"/>
        </w:rPr>
        <w:t>7</w:t>
      </w:r>
      <w:r>
        <w:rPr>
          <w:rFonts w:hint="eastAsia" w:ascii="仿宋_GB2312" w:hAnsi="宋体" w:eastAsia="仿宋_GB2312"/>
          <w:sz w:val="32"/>
          <w:szCs w:val="32"/>
          <w:lang w:eastAsia="zh-CN"/>
        </w:rPr>
        <w:t>人。</w:t>
      </w:r>
    </w:p>
    <w:p>
      <w:pPr>
        <w:pageBreakBefore w:val="0"/>
        <w:widowControl/>
        <w:kinsoku/>
        <w:wordWrap/>
        <w:overflowPunct/>
        <w:topLinePunct w:val="0"/>
        <w:bidi w:val="0"/>
        <w:adjustRightInd w:val="0"/>
        <w:snapToGrid w:val="0"/>
        <w:spacing w:line="560" w:lineRule="exact"/>
        <w:ind w:firstLine="640" w:firstLineChars="200"/>
        <w:contextualSpacing/>
        <w:jc w:val="left"/>
        <w:textAlignment w:val="auto"/>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pageBreakBefore w:val="0"/>
        <w:widowControl/>
        <w:numPr>
          <w:ilvl w:val="0"/>
          <w:numId w:val="0"/>
        </w:numPr>
        <w:kinsoku/>
        <w:wordWrap/>
        <w:overflowPunct/>
        <w:topLinePunct w:val="0"/>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000000"/>
          <w:kern w:val="0"/>
          <w:sz w:val="32"/>
          <w:szCs w:val="32"/>
          <w:shd w:val="clear" w:color="auto" w:fill="FFFFFF"/>
          <w:lang w:val="zh-CN"/>
        </w:rPr>
      </w:pPr>
      <w:r>
        <w:rPr>
          <w:rFonts w:hint="eastAsia" w:ascii="楷体_GB2312" w:hAnsi="楷体_GB2312" w:eastAsia="楷体_GB2312" w:cs="楷体_GB2312"/>
          <w:b/>
          <w:bCs/>
          <w:color w:val="000000"/>
          <w:kern w:val="0"/>
          <w:sz w:val="32"/>
          <w:szCs w:val="32"/>
          <w:shd w:val="clear" w:color="auto" w:fill="FFFFFF"/>
          <w:lang w:val="zh-CN"/>
        </w:rPr>
        <w:t>（一）部门财政资金收入情况</w:t>
      </w:r>
    </w:p>
    <w:p>
      <w:pPr>
        <w:spacing w:line="600" w:lineRule="exact"/>
        <w:ind w:firstLine="640"/>
        <w:rPr>
          <w:rFonts w:hint="eastAsia" w:ascii="仿宋" w:hAnsi="仿宋" w:eastAsia="仿宋"/>
          <w:b/>
          <w:bCs/>
          <w:color w:val="000000"/>
          <w:sz w:val="32"/>
          <w:szCs w:val="32"/>
          <w:lang w:eastAsia="zh-CN"/>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1年一般公共预算财政拨款支出854.83万元，主要用于以下方面</w:t>
      </w:r>
      <w:r>
        <w:rPr>
          <w:rFonts w:ascii="仿宋" w:hAnsi="仿宋" w:eastAsia="仿宋"/>
          <w:color w:val="000000"/>
          <w:sz w:val="32"/>
          <w:szCs w:val="32"/>
        </w:rPr>
        <w:t>:</w:t>
      </w:r>
      <w:r>
        <w:rPr>
          <w:rFonts w:hint="eastAsia" w:ascii="仿宋" w:hAnsi="仿宋" w:eastAsia="仿宋"/>
          <w:b/>
          <w:color w:val="000000"/>
          <w:sz w:val="32"/>
          <w:szCs w:val="32"/>
        </w:rPr>
        <w:t>公共安全（类）</w:t>
      </w:r>
      <w:r>
        <w:rPr>
          <w:rFonts w:hint="eastAsia" w:ascii="仿宋" w:hAnsi="仿宋" w:eastAsia="仿宋"/>
          <w:color w:val="000000"/>
          <w:sz w:val="32"/>
          <w:szCs w:val="32"/>
        </w:rPr>
        <w:t>支出713.16万元，占</w:t>
      </w:r>
      <w:r>
        <w:rPr>
          <w:rFonts w:hint="eastAsia" w:ascii="仿宋" w:hAnsi="仿宋" w:eastAsia="仿宋"/>
          <w:color w:val="000000"/>
          <w:sz w:val="32"/>
          <w:szCs w:val="32"/>
          <w:lang w:val="en-US" w:eastAsia="zh-CN"/>
        </w:rPr>
        <w:t>83.43</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75.07万元，占</w:t>
      </w:r>
      <w:r>
        <w:rPr>
          <w:rFonts w:hint="eastAsia" w:ascii="仿宋" w:hAnsi="仿宋" w:eastAsia="仿宋"/>
          <w:color w:val="000000"/>
          <w:sz w:val="32"/>
          <w:szCs w:val="32"/>
          <w:lang w:val="en-US" w:eastAsia="zh-CN"/>
        </w:rPr>
        <w:t>8.78</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卫生健康（类）</w:t>
      </w:r>
      <w:r>
        <w:rPr>
          <w:rFonts w:hint="eastAsia" w:ascii="仿宋" w:hAnsi="仿宋" w:eastAsia="仿宋"/>
          <w:color w:val="000000"/>
          <w:sz w:val="32"/>
          <w:szCs w:val="32"/>
        </w:rPr>
        <w:t>支出24.26万元，占</w:t>
      </w:r>
      <w:r>
        <w:rPr>
          <w:rFonts w:hint="eastAsia" w:ascii="仿宋" w:hAnsi="仿宋" w:eastAsia="仿宋"/>
          <w:color w:val="000000"/>
          <w:sz w:val="32"/>
          <w:szCs w:val="32"/>
          <w:lang w:val="en-US" w:eastAsia="zh-CN"/>
        </w:rPr>
        <w:t>2.84</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住房保障（类）支出42.34万元，占</w:t>
      </w:r>
      <w:r>
        <w:rPr>
          <w:rFonts w:hint="eastAsia" w:ascii="仿宋" w:hAnsi="仿宋" w:eastAsia="仿宋"/>
          <w:b/>
          <w:bCs/>
          <w:color w:val="000000"/>
          <w:sz w:val="32"/>
          <w:szCs w:val="32"/>
          <w:lang w:val="en-US" w:eastAsia="zh-CN"/>
        </w:rPr>
        <w:t>4.95</w:t>
      </w:r>
      <w:r>
        <w:rPr>
          <w:rFonts w:ascii="仿宋" w:hAnsi="仿宋" w:eastAsia="仿宋"/>
          <w:b/>
          <w:bCs/>
          <w:color w:val="000000"/>
          <w:sz w:val="32"/>
          <w:szCs w:val="32"/>
        </w:rPr>
        <w:t>%</w:t>
      </w:r>
      <w:r>
        <w:rPr>
          <w:rFonts w:hint="eastAsia" w:ascii="仿宋" w:hAnsi="仿宋" w:eastAsia="仿宋"/>
          <w:b/>
          <w:bCs/>
          <w:color w:val="000000"/>
          <w:sz w:val="32"/>
          <w:szCs w:val="32"/>
          <w:lang w:eastAsia="zh-CN"/>
        </w:rPr>
        <w:t>。</w:t>
      </w:r>
    </w:p>
    <w:p>
      <w:pPr>
        <w:pageBreakBefore w:val="0"/>
        <w:widowControl/>
        <w:numPr>
          <w:ilvl w:val="0"/>
          <w:numId w:val="0"/>
        </w:numPr>
        <w:kinsoku/>
        <w:wordWrap/>
        <w:overflowPunct/>
        <w:topLinePunct w:val="0"/>
        <w:bidi w:val="0"/>
        <w:adjustRightInd w:val="0"/>
        <w:snapToGrid w:val="0"/>
        <w:spacing w:line="560" w:lineRule="exact"/>
        <w:ind w:leftChars="200" w:firstLine="321" w:firstLineChars="100"/>
        <w:contextualSpacing/>
        <w:jc w:val="left"/>
        <w:textAlignment w:val="auto"/>
        <w:rPr>
          <w:rFonts w:hint="eastAsia" w:ascii="楷体_GB2312" w:hAnsi="楷体_GB2312" w:eastAsia="楷体_GB2312" w:cs="楷体_GB2312"/>
          <w:b/>
          <w:bCs/>
          <w:color w:val="000000"/>
          <w:kern w:val="0"/>
          <w:sz w:val="32"/>
          <w:szCs w:val="32"/>
          <w:shd w:val="clear" w:color="auto" w:fill="FFFFFF"/>
          <w:lang w:val="zh-CN"/>
        </w:rPr>
      </w:pPr>
      <w:r>
        <w:rPr>
          <w:rFonts w:hint="eastAsia" w:ascii="楷体_GB2312" w:hAnsi="楷体_GB2312" w:eastAsia="楷体_GB2312" w:cs="楷体_GB2312"/>
          <w:b/>
          <w:bCs/>
          <w:color w:val="000000"/>
          <w:kern w:val="0"/>
          <w:sz w:val="32"/>
          <w:szCs w:val="32"/>
          <w:shd w:val="clear" w:color="auto" w:fill="FFFFFF"/>
          <w:lang w:val="zh-CN"/>
        </w:rPr>
        <w:t>（二）部门财政资金支出情况</w:t>
      </w:r>
    </w:p>
    <w:p>
      <w:pPr>
        <w:spacing w:line="600" w:lineRule="exact"/>
        <w:ind w:firstLine="640"/>
        <w:rPr>
          <w:rFonts w:hint="eastAsia" w:ascii="仿宋" w:hAnsi="仿宋" w:eastAsia="仿宋"/>
          <w:b/>
          <w:bCs/>
          <w:color w:val="000000"/>
          <w:sz w:val="32"/>
          <w:szCs w:val="32"/>
          <w:lang w:eastAsia="zh-CN"/>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1年一般公共预算财政拨款支出854.83万元，主要用于以下方面</w:t>
      </w:r>
      <w:r>
        <w:rPr>
          <w:rFonts w:ascii="仿宋" w:hAnsi="仿宋" w:eastAsia="仿宋"/>
          <w:color w:val="000000"/>
          <w:sz w:val="32"/>
          <w:szCs w:val="32"/>
        </w:rPr>
        <w:t>:</w:t>
      </w:r>
      <w:r>
        <w:rPr>
          <w:rFonts w:hint="eastAsia" w:ascii="仿宋" w:hAnsi="仿宋" w:eastAsia="仿宋"/>
          <w:b/>
          <w:color w:val="000000"/>
          <w:sz w:val="32"/>
          <w:szCs w:val="32"/>
        </w:rPr>
        <w:t>公共安全（类）</w:t>
      </w:r>
      <w:r>
        <w:rPr>
          <w:rFonts w:hint="eastAsia" w:ascii="仿宋" w:hAnsi="仿宋" w:eastAsia="仿宋"/>
          <w:color w:val="000000"/>
          <w:sz w:val="32"/>
          <w:szCs w:val="32"/>
        </w:rPr>
        <w:t>支出713.16万元，占</w:t>
      </w:r>
      <w:r>
        <w:rPr>
          <w:rFonts w:hint="eastAsia" w:ascii="仿宋" w:hAnsi="仿宋" w:eastAsia="仿宋"/>
          <w:color w:val="000000"/>
          <w:sz w:val="32"/>
          <w:szCs w:val="32"/>
          <w:lang w:val="en-US" w:eastAsia="zh-CN"/>
        </w:rPr>
        <w:t>83.43</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75.07万元，占</w:t>
      </w:r>
      <w:r>
        <w:rPr>
          <w:rFonts w:hint="eastAsia" w:ascii="仿宋" w:hAnsi="仿宋" w:eastAsia="仿宋"/>
          <w:color w:val="000000"/>
          <w:sz w:val="32"/>
          <w:szCs w:val="32"/>
          <w:lang w:val="en-US" w:eastAsia="zh-CN"/>
        </w:rPr>
        <w:t>8.78</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卫生健康（类）</w:t>
      </w:r>
      <w:r>
        <w:rPr>
          <w:rFonts w:hint="eastAsia" w:ascii="仿宋" w:hAnsi="仿宋" w:eastAsia="仿宋"/>
          <w:color w:val="000000"/>
          <w:sz w:val="32"/>
          <w:szCs w:val="32"/>
        </w:rPr>
        <w:t>支出24.26万元，占</w:t>
      </w:r>
      <w:r>
        <w:rPr>
          <w:rFonts w:hint="eastAsia" w:ascii="仿宋" w:hAnsi="仿宋" w:eastAsia="仿宋"/>
          <w:color w:val="000000"/>
          <w:sz w:val="32"/>
          <w:szCs w:val="32"/>
          <w:lang w:val="en-US" w:eastAsia="zh-CN"/>
        </w:rPr>
        <w:t>2.84</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住房保障（类）支出42.34万元，占</w:t>
      </w:r>
      <w:r>
        <w:rPr>
          <w:rFonts w:hint="eastAsia" w:ascii="仿宋" w:hAnsi="仿宋" w:eastAsia="仿宋"/>
          <w:b/>
          <w:bCs/>
          <w:color w:val="000000"/>
          <w:sz w:val="32"/>
          <w:szCs w:val="32"/>
          <w:lang w:val="en-US" w:eastAsia="zh-CN"/>
        </w:rPr>
        <w:t>4.95</w:t>
      </w:r>
      <w:r>
        <w:rPr>
          <w:rFonts w:ascii="仿宋" w:hAnsi="仿宋" w:eastAsia="仿宋"/>
          <w:b/>
          <w:bCs/>
          <w:color w:val="000000"/>
          <w:sz w:val="32"/>
          <w:szCs w:val="32"/>
        </w:rPr>
        <w:t>%</w:t>
      </w:r>
      <w:r>
        <w:rPr>
          <w:rFonts w:hint="eastAsia" w:ascii="仿宋" w:hAnsi="仿宋" w:eastAsia="仿宋"/>
          <w:b/>
          <w:bCs/>
          <w:color w:val="000000"/>
          <w:sz w:val="32"/>
          <w:szCs w:val="32"/>
          <w:lang w:eastAsia="zh-CN"/>
        </w:rPr>
        <w:t>。</w:t>
      </w:r>
    </w:p>
    <w:p>
      <w:pPr>
        <w:pageBreakBefore w:val="0"/>
        <w:widowControl/>
        <w:kinsoku/>
        <w:wordWrap/>
        <w:overflowPunct/>
        <w:topLinePunct w:val="0"/>
        <w:bidi w:val="0"/>
        <w:adjustRightInd w:val="0"/>
        <w:snapToGrid w:val="0"/>
        <w:spacing w:line="560" w:lineRule="exact"/>
        <w:ind w:firstLine="640" w:firstLineChars="200"/>
        <w:contextualSpacing/>
        <w:jc w:val="left"/>
        <w:textAlignment w:val="auto"/>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pageBreakBefore w:val="0"/>
        <w:widowControl/>
        <w:numPr>
          <w:ilvl w:val="0"/>
          <w:numId w:val="0"/>
        </w:numPr>
        <w:kinsoku/>
        <w:wordWrap/>
        <w:overflowPunct/>
        <w:topLinePunct w:val="0"/>
        <w:bidi w:val="0"/>
        <w:adjustRightInd w:val="0"/>
        <w:snapToGrid w:val="0"/>
        <w:spacing w:line="560" w:lineRule="exact"/>
        <w:ind w:leftChars="200" w:firstLine="321" w:firstLineChars="100"/>
        <w:contextualSpacing/>
        <w:jc w:val="left"/>
        <w:textAlignment w:val="auto"/>
        <w:rPr>
          <w:rFonts w:hint="eastAsia" w:ascii="楷体_GB2312" w:hAnsi="楷体_GB2312" w:eastAsia="楷体_GB2312" w:cs="楷体_GB2312"/>
          <w:b/>
          <w:bCs/>
          <w:color w:val="000000"/>
          <w:kern w:val="0"/>
          <w:sz w:val="32"/>
          <w:szCs w:val="32"/>
          <w:shd w:val="clear" w:color="auto" w:fill="FFFFFF"/>
          <w:lang w:val="zh-CN"/>
        </w:rPr>
      </w:pPr>
      <w:r>
        <w:rPr>
          <w:rFonts w:hint="eastAsia" w:ascii="楷体_GB2312" w:hAnsi="楷体_GB2312" w:eastAsia="楷体_GB2312" w:cs="楷体_GB2312"/>
          <w:b/>
          <w:bCs/>
          <w:color w:val="000000"/>
          <w:kern w:val="0"/>
          <w:sz w:val="32"/>
          <w:szCs w:val="32"/>
          <w:shd w:val="clear" w:color="auto" w:fill="FFFFFF"/>
          <w:lang w:val="zh-CN"/>
        </w:rPr>
        <w:t>（一）部门预算管理</w:t>
      </w:r>
    </w:p>
    <w:p>
      <w:pPr>
        <w:keepNext w:val="0"/>
        <w:keepLines w:val="0"/>
        <w:pageBreakBefore w:val="0"/>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rPr>
          <w:rFonts w:ascii="仿宋" w:hAnsi="仿宋" w:eastAsia="仿宋" w:cs="仿宋_GB2312"/>
          <w:sz w:val="32"/>
          <w:szCs w:val="32"/>
        </w:rPr>
      </w:pPr>
      <w:r>
        <w:rPr>
          <w:rFonts w:hint="eastAsia" w:ascii="仿宋_GB2312" w:hAnsi="仿宋_GB2312" w:eastAsia="仿宋_GB2312" w:cs="仿宋_GB2312"/>
          <w:color w:val="000000"/>
          <w:sz w:val="32"/>
          <w:szCs w:val="32"/>
        </w:rPr>
        <w:t>我院按照财政要求及时准确、保质保量编报财政预决算、绩效目标报表。根据我院工作实际，建立各项工作制度，实施内部监督和控制，并在工作中严格要求遵守规章制度，</w:t>
      </w:r>
      <w:r>
        <w:rPr>
          <w:rFonts w:hint="eastAsia" w:ascii="仿宋_GB2312" w:hAnsi="仿宋_GB2312" w:eastAsia="仿宋_GB2312" w:cs="仿宋_GB2312"/>
          <w:color w:val="000000"/>
          <w:sz w:val="32"/>
          <w:szCs w:val="32"/>
          <w:lang w:eastAsia="zh-CN"/>
        </w:rPr>
        <w:t>强化控制作用</w:t>
      </w:r>
      <w:r>
        <w:rPr>
          <w:rFonts w:hint="eastAsia" w:ascii="仿宋_GB2312" w:hAnsi="仿宋_GB2312" w:eastAsia="仿宋_GB2312" w:cs="仿宋_GB2312"/>
          <w:color w:val="000000"/>
          <w:sz w:val="32"/>
          <w:szCs w:val="32"/>
        </w:rPr>
        <w:t>，保证了会计工作的真实性、完整性以及单位财产的安全，加强了对本单位财产物资的监督和管理，杜绝了各种漏洞的发生。</w:t>
      </w:r>
    </w:p>
    <w:p>
      <w:pPr>
        <w:pageBreakBefore w:val="0"/>
        <w:widowControl/>
        <w:numPr>
          <w:ilvl w:val="0"/>
          <w:numId w:val="0"/>
        </w:numPr>
        <w:kinsoku/>
        <w:wordWrap/>
        <w:overflowPunct/>
        <w:topLinePunct w:val="0"/>
        <w:bidi w:val="0"/>
        <w:adjustRightInd w:val="0"/>
        <w:snapToGrid w:val="0"/>
        <w:spacing w:line="560" w:lineRule="exact"/>
        <w:ind w:leftChars="200" w:firstLine="321" w:firstLineChars="100"/>
        <w:contextualSpacing/>
        <w:jc w:val="left"/>
        <w:textAlignment w:val="auto"/>
        <w:rPr>
          <w:rFonts w:hint="eastAsia" w:ascii="楷体_GB2312" w:hAnsi="楷体_GB2312" w:eastAsia="楷体_GB2312" w:cs="楷体_GB2312"/>
          <w:b/>
          <w:bCs/>
          <w:color w:val="000000"/>
          <w:kern w:val="0"/>
          <w:sz w:val="32"/>
          <w:szCs w:val="32"/>
          <w:shd w:val="clear" w:color="auto" w:fill="FFFFFF"/>
          <w:lang w:val="zh-CN"/>
        </w:rPr>
      </w:pPr>
      <w:r>
        <w:rPr>
          <w:rFonts w:hint="eastAsia" w:ascii="楷体_GB2312" w:hAnsi="楷体_GB2312" w:eastAsia="楷体_GB2312" w:cs="楷体_GB2312"/>
          <w:b/>
          <w:bCs/>
          <w:color w:val="000000"/>
          <w:kern w:val="0"/>
          <w:sz w:val="32"/>
          <w:szCs w:val="32"/>
          <w:shd w:val="clear" w:color="auto" w:fill="FFFFFF"/>
          <w:lang w:val="zh-CN"/>
        </w:rPr>
        <w:t>（二）结果应用情况</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我院根据部门整体支出绩效评价指标体系对部门预算绩效管理工作开展情况进行自评。从年初指标细则到指标完成情况，进行全面自查及自评，通过落实目标明确、目标合理、工作可量化等各项要求，保障了</w:t>
      </w:r>
      <w:r>
        <w:rPr>
          <w:rFonts w:hint="eastAsia" w:ascii="仿宋_GB2312" w:hAnsi="仿宋_GB2312" w:eastAsia="仿宋_GB2312" w:cs="仿宋_GB2312"/>
          <w:color w:val="000000"/>
          <w:kern w:val="0"/>
          <w:sz w:val="32"/>
          <w:szCs w:val="32"/>
          <w:lang w:eastAsia="zh-CN"/>
        </w:rPr>
        <w:t>我院</w:t>
      </w:r>
      <w:r>
        <w:rPr>
          <w:rFonts w:hint="eastAsia" w:ascii="仿宋_GB2312" w:hAnsi="仿宋_GB2312" w:eastAsia="仿宋_GB2312" w:cs="仿宋_GB2312"/>
          <w:color w:val="000000"/>
          <w:kern w:val="0"/>
          <w:sz w:val="32"/>
          <w:szCs w:val="32"/>
        </w:rPr>
        <w:t>工作高效运行，各项工作按照计划有序实施，完成数量及质量均得到有效控制；工作实施所需的经费均得到充分保障，</w:t>
      </w:r>
      <w:r>
        <w:rPr>
          <w:rFonts w:hint="eastAsia" w:ascii="仿宋_GB2312" w:hAnsi="仿宋_GB2312" w:eastAsia="仿宋_GB2312" w:cs="仿宋_GB2312"/>
          <w:color w:val="000000"/>
          <w:kern w:val="0"/>
          <w:sz w:val="32"/>
          <w:szCs w:val="32"/>
          <w:lang w:eastAsia="zh-CN"/>
        </w:rPr>
        <w:t>检察</w:t>
      </w:r>
      <w:r>
        <w:rPr>
          <w:rFonts w:hint="eastAsia" w:ascii="仿宋_GB2312" w:hAnsi="仿宋_GB2312" w:eastAsia="仿宋_GB2312" w:cs="仿宋_GB2312"/>
          <w:color w:val="000000"/>
          <w:kern w:val="0"/>
          <w:sz w:val="32"/>
          <w:szCs w:val="32"/>
        </w:rPr>
        <w:t>工作质量显著提升。</w:t>
      </w:r>
    </w:p>
    <w:p>
      <w:pPr>
        <w:pageBreakBefore w:val="0"/>
        <w:widowControl/>
        <w:kinsoku/>
        <w:wordWrap/>
        <w:overflowPunct/>
        <w:topLinePunct w:val="0"/>
        <w:bidi w:val="0"/>
        <w:adjustRightInd w:val="0"/>
        <w:snapToGrid w:val="0"/>
        <w:spacing w:line="560" w:lineRule="exact"/>
        <w:ind w:firstLine="640" w:firstLineChars="200"/>
        <w:contextualSpacing/>
        <w:jc w:val="left"/>
        <w:textAlignment w:val="auto"/>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pageBreakBefore w:val="0"/>
        <w:widowControl/>
        <w:numPr>
          <w:ilvl w:val="0"/>
          <w:numId w:val="0"/>
        </w:numPr>
        <w:kinsoku/>
        <w:wordWrap/>
        <w:overflowPunct/>
        <w:topLinePunct w:val="0"/>
        <w:bidi w:val="0"/>
        <w:adjustRightInd w:val="0"/>
        <w:snapToGrid w:val="0"/>
        <w:spacing w:line="560" w:lineRule="exact"/>
        <w:ind w:leftChars="200" w:firstLine="321" w:firstLineChars="100"/>
        <w:contextualSpacing/>
        <w:jc w:val="left"/>
        <w:textAlignment w:val="auto"/>
        <w:rPr>
          <w:rFonts w:hint="eastAsia" w:ascii="楷体_GB2312" w:hAnsi="楷体_GB2312" w:eastAsia="楷体_GB2312" w:cs="楷体_GB2312"/>
          <w:b/>
          <w:bCs/>
          <w:color w:val="000000"/>
          <w:kern w:val="0"/>
          <w:sz w:val="32"/>
          <w:szCs w:val="32"/>
          <w:shd w:val="clear" w:color="auto" w:fill="FFFFFF"/>
          <w:lang w:val="zh-CN"/>
        </w:rPr>
      </w:pPr>
      <w:r>
        <w:rPr>
          <w:rFonts w:hint="eastAsia" w:ascii="楷体_GB2312" w:hAnsi="楷体_GB2312" w:eastAsia="楷体_GB2312" w:cs="楷体_GB2312"/>
          <w:b/>
          <w:bCs/>
          <w:color w:val="000000"/>
          <w:kern w:val="0"/>
          <w:sz w:val="32"/>
          <w:szCs w:val="32"/>
          <w:shd w:val="clear" w:color="auto" w:fill="FFFFFF"/>
          <w:lang w:val="zh-CN"/>
        </w:rPr>
        <w:t>（一）评价结论</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lang w:eastAsia="zh-CN"/>
        </w:rPr>
        <w:t>我院</w:t>
      </w:r>
      <w:r>
        <w:rPr>
          <w:rFonts w:hint="eastAsia" w:ascii="仿宋_GB2312" w:hAnsi="仿宋_GB2312" w:eastAsia="仿宋_GB2312" w:cs="仿宋_GB2312"/>
          <w:color w:val="000000"/>
          <w:kern w:val="0"/>
          <w:sz w:val="32"/>
          <w:szCs w:val="32"/>
        </w:rPr>
        <w:t>部门预算执行情况良好，无不良记录及违规违纪行为</w:t>
      </w:r>
      <w:r>
        <w:rPr>
          <w:rFonts w:hint="eastAsia" w:ascii="仿宋_GB2312" w:hAnsi="仿宋_GB2312" w:eastAsia="仿宋_GB2312" w:cs="仿宋_GB2312"/>
          <w:color w:val="000000"/>
          <w:kern w:val="0"/>
          <w:sz w:val="32"/>
          <w:szCs w:val="32"/>
          <w:lang w:eastAsia="zh-CN"/>
        </w:rPr>
        <w:t>。</w:t>
      </w:r>
    </w:p>
    <w:p>
      <w:pPr>
        <w:pageBreakBefore w:val="0"/>
        <w:widowControl/>
        <w:numPr>
          <w:ilvl w:val="0"/>
          <w:numId w:val="0"/>
        </w:numPr>
        <w:kinsoku/>
        <w:wordWrap/>
        <w:overflowPunct/>
        <w:topLinePunct w:val="0"/>
        <w:bidi w:val="0"/>
        <w:adjustRightInd w:val="0"/>
        <w:snapToGrid w:val="0"/>
        <w:spacing w:line="560" w:lineRule="exact"/>
        <w:ind w:leftChars="200" w:firstLine="321" w:firstLineChars="100"/>
        <w:contextualSpacing/>
        <w:jc w:val="left"/>
        <w:textAlignment w:val="auto"/>
        <w:rPr>
          <w:rFonts w:hint="eastAsia" w:ascii="楷体_GB2312" w:hAnsi="楷体_GB2312" w:eastAsia="楷体_GB2312" w:cs="楷体_GB2312"/>
          <w:b/>
          <w:bCs/>
          <w:color w:val="000000"/>
          <w:kern w:val="0"/>
          <w:sz w:val="32"/>
          <w:szCs w:val="32"/>
          <w:shd w:val="clear" w:color="auto" w:fill="FFFFFF"/>
          <w:lang w:val="zh-CN"/>
        </w:rPr>
      </w:pPr>
      <w:r>
        <w:rPr>
          <w:rFonts w:hint="eastAsia" w:ascii="楷体_GB2312" w:hAnsi="楷体_GB2312" w:eastAsia="楷体_GB2312" w:cs="楷体_GB2312"/>
          <w:b/>
          <w:bCs/>
          <w:color w:val="000000"/>
          <w:kern w:val="0"/>
          <w:sz w:val="32"/>
          <w:szCs w:val="32"/>
          <w:shd w:val="clear" w:color="auto" w:fill="FFFFFF"/>
          <w:lang w:val="zh-CN"/>
        </w:rPr>
        <w:t>（二）存在问题</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Calibri" w:eastAsia="仿宋_GB2312" w:cs="仿宋"/>
          <w:color w:val="000000"/>
          <w:sz w:val="32"/>
          <w:szCs w:val="32"/>
        </w:rPr>
        <w:t>财务人员业务</w:t>
      </w:r>
      <w:r>
        <w:rPr>
          <w:rFonts w:hint="eastAsia" w:ascii="仿宋_GB2312" w:hAnsi="Calibri" w:eastAsia="仿宋_GB2312" w:cs="仿宋"/>
          <w:color w:val="000000"/>
          <w:sz w:val="32"/>
          <w:szCs w:val="32"/>
          <w:lang w:eastAsia="zh-CN"/>
        </w:rPr>
        <w:t>专业</w:t>
      </w:r>
      <w:r>
        <w:rPr>
          <w:rFonts w:hint="eastAsia" w:ascii="仿宋_GB2312" w:hAnsi="Calibri" w:eastAsia="仿宋_GB2312" w:cs="仿宋"/>
          <w:color w:val="000000"/>
          <w:sz w:val="32"/>
          <w:szCs w:val="32"/>
        </w:rPr>
        <w:t>水平有待提高</w:t>
      </w:r>
      <w:r>
        <w:rPr>
          <w:rFonts w:hint="eastAsia" w:ascii="仿宋_GB2312" w:hAnsi="仿宋_GB2312" w:eastAsia="仿宋_GB2312" w:cs="仿宋_GB2312"/>
          <w:color w:val="000000"/>
          <w:kern w:val="0"/>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仿宋"/>
          <w:color w:val="000000"/>
          <w:sz w:val="32"/>
          <w:szCs w:val="32"/>
          <w:lang w:eastAsia="zh-CN"/>
        </w:rPr>
      </w:pPr>
      <w:r>
        <w:rPr>
          <w:rFonts w:hint="eastAsia" w:ascii="仿宋_GB2312" w:hAnsi="Calibri" w:eastAsia="仿宋_GB2312" w:cs="仿宋"/>
          <w:color w:val="000000"/>
          <w:sz w:val="32"/>
          <w:szCs w:val="32"/>
        </w:rPr>
        <w:t>预算编制仍需进一步精确细化。</w:t>
      </w:r>
    </w:p>
    <w:p>
      <w:pPr>
        <w:pageBreakBefore w:val="0"/>
        <w:widowControl/>
        <w:numPr>
          <w:ilvl w:val="0"/>
          <w:numId w:val="0"/>
        </w:numPr>
        <w:kinsoku/>
        <w:wordWrap/>
        <w:overflowPunct/>
        <w:topLinePunct w:val="0"/>
        <w:bidi w:val="0"/>
        <w:adjustRightInd w:val="0"/>
        <w:snapToGrid w:val="0"/>
        <w:spacing w:line="560" w:lineRule="exact"/>
        <w:ind w:leftChars="200" w:firstLine="321" w:firstLineChars="100"/>
        <w:contextualSpacing/>
        <w:jc w:val="left"/>
        <w:textAlignment w:val="auto"/>
        <w:rPr>
          <w:rFonts w:hint="eastAsia" w:ascii="楷体_GB2312" w:hAnsi="楷体_GB2312" w:eastAsia="楷体_GB2312" w:cs="楷体_GB2312"/>
          <w:b/>
          <w:bCs/>
          <w:color w:val="000000"/>
          <w:kern w:val="0"/>
          <w:sz w:val="32"/>
          <w:szCs w:val="32"/>
          <w:shd w:val="clear" w:color="auto" w:fill="FFFFFF"/>
          <w:lang w:val="zh-CN"/>
        </w:rPr>
      </w:pPr>
      <w:r>
        <w:rPr>
          <w:rFonts w:hint="eastAsia" w:ascii="楷体_GB2312" w:hAnsi="楷体_GB2312" w:eastAsia="楷体_GB2312" w:cs="楷体_GB2312"/>
          <w:b/>
          <w:bCs/>
          <w:color w:val="000000"/>
          <w:kern w:val="0"/>
          <w:sz w:val="32"/>
          <w:szCs w:val="32"/>
          <w:shd w:val="clear" w:color="auto" w:fill="FFFFFF"/>
          <w:lang w:val="zh-CN"/>
        </w:rPr>
        <w:t>（三）改进建议</w:t>
      </w:r>
    </w:p>
    <w:p>
      <w:pPr>
        <w:pageBreakBefore w:val="0"/>
        <w:widowControl/>
        <w:numPr>
          <w:ilvl w:val="0"/>
          <w:numId w:val="0"/>
        </w:numPr>
        <w:kinsoku/>
        <w:wordWrap/>
        <w:overflowPunct/>
        <w:topLinePunct w:val="0"/>
        <w:bidi w:val="0"/>
        <w:adjustRightInd w:val="0"/>
        <w:snapToGrid w:val="0"/>
        <w:spacing w:line="560" w:lineRule="exact"/>
        <w:ind w:firstLine="640" w:firstLineChars="200"/>
        <w:contextualSpacing/>
        <w:jc w:val="left"/>
        <w:textAlignment w:val="auto"/>
        <w:rPr>
          <w:rFonts w:hint="eastAsia" w:ascii="仿宋_GB2312" w:hAnsi="Calibri" w:eastAsia="仿宋_GB2312" w:cs="仿宋"/>
          <w:color w:val="000000"/>
          <w:sz w:val="32"/>
          <w:szCs w:val="32"/>
          <w:lang w:val="zh-CN"/>
        </w:rPr>
      </w:pPr>
      <w:r>
        <w:rPr>
          <w:rFonts w:hint="eastAsia" w:ascii="仿宋_GB2312" w:hAnsi="Calibri" w:eastAsia="仿宋_GB2312" w:cs="仿宋"/>
          <w:color w:val="000000"/>
          <w:sz w:val="32"/>
          <w:szCs w:val="32"/>
        </w:rPr>
        <w:t>一是</w:t>
      </w:r>
      <w:r>
        <w:rPr>
          <w:rFonts w:hint="eastAsia" w:ascii="仿宋_GB2312" w:hAnsi="Calibri" w:eastAsia="仿宋_GB2312" w:cs="仿宋"/>
          <w:color w:val="000000"/>
          <w:sz w:val="32"/>
          <w:szCs w:val="32"/>
          <w:lang w:eastAsia="zh-CN"/>
        </w:rPr>
        <w:t>财务人员提高业务技能，加强理论培训。二是</w:t>
      </w:r>
      <w:r>
        <w:rPr>
          <w:rFonts w:hint="eastAsia" w:ascii="仿宋_GB2312" w:hAnsi="Calibri" w:eastAsia="仿宋_GB2312" w:cs="仿宋"/>
          <w:color w:val="000000"/>
          <w:sz w:val="32"/>
          <w:szCs w:val="32"/>
        </w:rPr>
        <w:t>科学合理编制预算，严格执行预算。</w:t>
      </w:r>
      <w:r>
        <w:rPr>
          <w:rFonts w:hint="eastAsia" w:ascii="仿宋_GB2312" w:hAnsi="Calibri" w:eastAsia="仿宋_GB2312" w:cs="仿宋"/>
          <w:color w:val="000000"/>
          <w:sz w:val="32"/>
          <w:szCs w:val="32"/>
          <w:lang w:eastAsia="zh-CN"/>
        </w:rPr>
        <w:t>在</w:t>
      </w:r>
      <w:r>
        <w:rPr>
          <w:rFonts w:hint="eastAsia" w:ascii="仿宋_GB2312" w:hAnsi="Calibri" w:eastAsia="仿宋_GB2312" w:cs="仿宋"/>
          <w:color w:val="000000"/>
          <w:sz w:val="32"/>
          <w:szCs w:val="32"/>
        </w:rPr>
        <w:t>预算的编制阶段，多花时间、下功夫，将每一项支出的预算做好做细。在预算的执行阶段，严格控制每项支出，并定期将预算使用情况向院党组汇报，针对突发性支出做好准备工作。</w:t>
      </w:r>
    </w:p>
    <w:p>
      <w:pPr>
        <w:pageBreakBefore w:val="0"/>
        <w:kinsoku/>
        <w:wordWrap/>
        <w:overflowPunct/>
        <w:topLinePunct w:val="0"/>
        <w:bidi w:val="0"/>
        <w:spacing w:line="560" w:lineRule="exact"/>
        <w:ind w:firstLine="640" w:firstLineChars="200"/>
        <w:textAlignment w:val="auto"/>
        <w:rPr>
          <w:rFonts w:ascii="仿宋_GB2312" w:hAnsi="仿宋_GB2312" w:eastAsia="仿宋_GB2312" w:cs="仿宋_GB2312"/>
          <w:sz w:val="32"/>
          <w:szCs w:val="32"/>
        </w:rPr>
      </w:pPr>
    </w:p>
    <w:p>
      <w:pPr>
        <w:pageBreakBefore w:val="0"/>
        <w:kinsoku/>
        <w:wordWrap/>
        <w:overflowPunct/>
        <w:topLinePunct w:val="0"/>
        <w:bidi w:val="0"/>
        <w:spacing w:line="560" w:lineRule="exact"/>
        <w:ind w:firstLine="640" w:firstLineChars="200"/>
        <w:textAlignment w:val="auto"/>
        <w:rPr>
          <w:rFonts w:ascii="仿宋_GB2312" w:hAnsi="仿宋_GB2312" w:eastAsia="仿宋_GB2312" w:cs="仿宋_GB2312"/>
          <w:sz w:val="32"/>
          <w:szCs w:val="32"/>
        </w:rPr>
      </w:pPr>
    </w:p>
    <w:p>
      <w:pPr>
        <w:pageBreakBefore w:val="0"/>
        <w:kinsoku/>
        <w:wordWrap/>
        <w:overflowPunct/>
        <w:topLinePunct w:val="0"/>
        <w:bidi w:val="0"/>
        <w:spacing w:line="560" w:lineRule="exact"/>
        <w:jc w:val="center"/>
        <w:textAlignment w:val="auto"/>
        <w:rPr>
          <w:rFonts w:hint="eastAsia" w:ascii="方正小标宋简体" w:hAnsi="宋体" w:eastAsia="方正小标宋简体"/>
          <w:color w:val="000000"/>
          <w:kern w:val="0"/>
          <w:sz w:val="44"/>
          <w:szCs w:val="44"/>
          <w:lang w:eastAsia="zh-CN"/>
        </w:rPr>
      </w:pPr>
      <w:r>
        <w:rPr>
          <w:rFonts w:hint="eastAsia" w:ascii="方正小标宋简体" w:hAnsi="宋体" w:eastAsia="方正小标宋简体"/>
          <w:color w:val="000000"/>
          <w:kern w:val="0"/>
          <w:sz w:val="44"/>
          <w:szCs w:val="44"/>
          <w:lang w:eastAsia="zh-CN"/>
        </w:rPr>
        <w:t>壤塘县人民检察院</w:t>
      </w:r>
    </w:p>
    <w:p>
      <w:pPr>
        <w:pageBreakBefore w:val="0"/>
        <w:kinsoku/>
        <w:wordWrap/>
        <w:overflowPunct/>
        <w:topLinePunct w:val="0"/>
        <w:bidi w:val="0"/>
        <w:spacing w:line="560" w:lineRule="exact"/>
        <w:jc w:val="center"/>
        <w:textAlignment w:val="auto"/>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eastAsia="zh-CN"/>
        </w:rPr>
        <w:t>2021年司法救助金</w:t>
      </w:r>
      <w:r>
        <w:rPr>
          <w:rFonts w:hint="eastAsia" w:ascii="方正小标宋简体" w:hAnsi="宋体" w:eastAsia="方正小标宋简体"/>
          <w:color w:val="000000"/>
          <w:kern w:val="0"/>
          <w:sz w:val="44"/>
          <w:szCs w:val="44"/>
          <w:lang w:val="zh-CN"/>
        </w:rPr>
        <w:t>绩效评价报告</w:t>
      </w:r>
    </w:p>
    <w:p>
      <w:pPr>
        <w:pageBreakBefore w:val="0"/>
        <w:kinsoku/>
        <w:wordWrap/>
        <w:overflowPunct/>
        <w:topLinePunct w:val="0"/>
        <w:bidi w:val="0"/>
        <w:spacing w:line="560" w:lineRule="exact"/>
        <w:textAlignment w:val="auto"/>
        <w:rPr>
          <w:rFonts w:ascii="宋体" w:hAnsi="宋体"/>
          <w:sz w:val="32"/>
          <w:szCs w:val="32"/>
          <w:lang w:val="zh-CN"/>
        </w:rPr>
      </w:pPr>
    </w:p>
    <w:p>
      <w:pPr>
        <w:pageBreakBefore w:val="0"/>
        <w:kinsoku/>
        <w:wordWrap/>
        <w:overflowPunct/>
        <w:topLinePunct w:val="0"/>
        <w:bidi w:val="0"/>
        <w:adjustRightInd w:val="0"/>
        <w:snapToGrid w:val="0"/>
        <w:spacing w:line="560" w:lineRule="exact"/>
        <w:ind w:firstLine="720"/>
        <w:textAlignment w:val="auto"/>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pageBreakBefore w:val="0"/>
        <w:kinsoku/>
        <w:wordWrap/>
        <w:overflowPunct/>
        <w:topLinePunct w:val="0"/>
        <w:bidi w:val="0"/>
        <w:adjustRightInd w:val="0"/>
        <w:snapToGrid w:val="0"/>
        <w:spacing w:line="560" w:lineRule="exact"/>
        <w:ind w:firstLine="720"/>
        <w:textAlignment w:val="auto"/>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宋体" w:eastAsia="仿宋_GB2312" w:cs="宋体"/>
          <w:kern w:val="0"/>
          <w:sz w:val="32"/>
          <w:szCs w:val="32"/>
        </w:rPr>
        <w:t>检察院国家司法救助工作，是检察院在办理案件过程中，对遭受犯罪侵害或者民事侵权，无法通过诉讼获得有效赔偿，生活面临急迫困难的当事人采取的辅助性救济措施。</w:t>
      </w:r>
      <w:r>
        <w:rPr>
          <w:rFonts w:hint="eastAsia" w:ascii="仿宋_GB2312" w:hAnsi="仿宋_GB2312" w:eastAsia="仿宋_GB2312" w:cs="仿宋_GB2312"/>
          <w:color w:val="000000"/>
          <w:kern w:val="0"/>
          <w:sz w:val="32"/>
          <w:szCs w:val="32"/>
          <w:lang w:val="en-US" w:eastAsia="zh-CN"/>
        </w:rPr>
        <w:t>2021年我院司法救助案件3件5人，共计金额4万元。</w:t>
      </w:r>
    </w:p>
    <w:p>
      <w:pPr>
        <w:pageBreakBefore w:val="0"/>
        <w:kinsoku/>
        <w:wordWrap/>
        <w:overflowPunct/>
        <w:topLinePunct w:val="0"/>
        <w:bidi w:val="0"/>
        <w:adjustRightInd w:val="0"/>
        <w:snapToGrid w:val="0"/>
        <w:spacing w:line="560" w:lineRule="exact"/>
        <w:ind w:firstLine="720"/>
        <w:textAlignment w:val="auto"/>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pageBreakBefore w:val="0"/>
        <w:kinsoku/>
        <w:wordWrap/>
        <w:overflowPunct/>
        <w:topLinePunct w:val="0"/>
        <w:bidi w:val="0"/>
        <w:adjustRightInd w:val="0"/>
        <w:snapToGrid w:val="0"/>
        <w:spacing w:line="560" w:lineRule="exact"/>
        <w:ind w:firstLine="72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按时保质的完成</w:t>
      </w:r>
      <w:r>
        <w:rPr>
          <w:rFonts w:hint="eastAsia" w:ascii="仿宋_GB2312" w:hAnsi="宋体" w:eastAsia="仿宋_GB2312" w:cs="宋体"/>
          <w:kern w:val="0"/>
          <w:sz w:val="32"/>
          <w:szCs w:val="32"/>
          <w:lang w:eastAsia="zh-CN"/>
        </w:rPr>
        <w:t>司法救助案件</w:t>
      </w:r>
      <w:r>
        <w:rPr>
          <w:rFonts w:hint="eastAsia" w:ascii="仿宋_GB2312" w:hAnsi="宋体" w:eastAsia="仿宋_GB2312" w:cs="宋体"/>
          <w:kern w:val="0"/>
          <w:sz w:val="32"/>
          <w:szCs w:val="32"/>
        </w:rPr>
        <w:t>。</w:t>
      </w:r>
    </w:p>
    <w:p>
      <w:pPr>
        <w:pageBreakBefore w:val="0"/>
        <w:kinsoku/>
        <w:wordWrap/>
        <w:overflowPunct/>
        <w:topLinePunct w:val="0"/>
        <w:bidi w:val="0"/>
        <w:adjustRightInd w:val="0"/>
        <w:snapToGrid w:val="0"/>
        <w:spacing w:line="560" w:lineRule="exact"/>
        <w:ind w:firstLine="72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2.加强社会治安综合治理工作，确保全县平安稳定，保障社会公平正义，促进社会和谐稳定。</w:t>
      </w:r>
      <w:r>
        <w:rPr>
          <w:rFonts w:hint="eastAsia" w:ascii="仿宋_GB2312" w:hAnsi="宋体" w:eastAsia="仿宋_GB2312" w:cs="宋体"/>
          <w:kern w:val="0"/>
          <w:sz w:val="32"/>
          <w:szCs w:val="32"/>
        </w:rPr>
        <w:t xml:space="preserve"> </w:t>
      </w:r>
    </w:p>
    <w:p>
      <w:pPr>
        <w:pageBreakBefore w:val="0"/>
        <w:kinsoku/>
        <w:wordWrap/>
        <w:overflowPunct/>
        <w:topLinePunct w:val="0"/>
        <w:bidi w:val="0"/>
        <w:adjustRightInd w:val="0"/>
        <w:snapToGrid w:val="0"/>
        <w:spacing w:line="560" w:lineRule="exact"/>
        <w:ind w:firstLine="720"/>
        <w:textAlignment w:val="auto"/>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pageBreakBefore w:val="0"/>
        <w:kinsoku/>
        <w:wordWrap/>
        <w:overflowPunct/>
        <w:topLinePunct w:val="0"/>
        <w:bidi w:val="0"/>
        <w:adjustRightInd w:val="0"/>
        <w:snapToGrid w:val="0"/>
        <w:spacing w:line="560" w:lineRule="exact"/>
        <w:ind w:firstLine="720"/>
        <w:textAlignment w:val="auto"/>
        <w:rPr>
          <w:rFonts w:hint="eastAsia" w:ascii="仿宋_GB2312" w:hAnsi="宋体" w:eastAsia="仿宋_GB2312"/>
          <w:sz w:val="32"/>
          <w:szCs w:val="32"/>
          <w:lang w:val="zh-CN" w:eastAsia="zh-CN"/>
        </w:rPr>
      </w:pPr>
      <w:r>
        <w:rPr>
          <w:rFonts w:hint="eastAsia" w:ascii="仿宋_GB2312" w:hAnsi="仿宋_GB2312" w:eastAsia="仿宋_GB2312" w:cs="仿宋_GB2312"/>
          <w:color w:val="000000"/>
          <w:kern w:val="0"/>
          <w:sz w:val="32"/>
          <w:szCs w:val="32"/>
          <w:lang w:val="zh-CN"/>
        </w:rPr>
        <w:t>我院根据质量指标、时效指标、成本指标、社会效益指标、可持续影响指标、服务对象满意度指标对</w:t>
      </w:r>
      <w:r>
        <w:rPr>
          <w:rFonts w:hint="eastAsia" w:ascii="仿宋_GB2312" w:hAnsi="宋体" w:eastAsia="仿宋_GB2312"/>
          <w:sz w:val="32"/>
          <w:szCs w:val="32"/>
          <w:lang w:val="en-US" w:eastAsia="zh-CN"/>
        </w:rPr>
        <w:t>2021年</w:t>
      </w:r>
      <w:r>
        <w:rPr>
          <w:rFonts w:hint="eastAsia" w:ascii="仿宋_GB2312" w:hAnsi="仿宋_GB2312" w:eastAsia="仿宋_GB2312" w:cs="仿宋_GB2312"/>
          <w:color w:val="000000"/>
          <w:kern w:val="0"/>
          <w:sz w:val="32"/>
          <w:szCs w:val="32"/>
          <w:lang w:eastAsia="zh-CN"/>
        </w:rPr>
        <w:t>司法救助金项目进行自评。</w:t>
      </w:r>
    </w:p>
    <w:p>
      <w:pPr>
        <w:pageBreakBefore w:val="0"/>
        <w:kinsoku/>
        <w:wordWrap/>
        <w:overflowPunct/>
        <w:topLinePunct w:val="0"/>
        <w:bidi w:val="0"/>
        <w:adjustRightInd w:val="0"/>
        <w:snapToGrid w:val="0"/>
        <w:spacing w:line="560" w:lineRule="exact"/>
        <w:ind w:firstLine="720"/>
        <w:textAlignment w:val="auto"/>
        <w:rPr>
          <w:rFonts w:ascii="黑体" w:hAnsi="宋体" w:eastAsia="黑体"/>
          <w:sz w:val="32"/>
          <w:szCs w:val="32"/>
        </w:rPr>
      </w:pPr>
      <w:r>
        <w:rPr>
          <w:rFonts w:hint="eastAsia" w:ascii="黑体" w:hAnsi="宋体" w:eastAsia="黑体"/>
          <w:sz w:val="32"/>
          <w:szCs w:val="32"/>
        </w:rPr>
        <w:t>二、项目资金申报及使用情况</w:t>
      </w:r>
    </w:p>
    <w:p>
      <w:pPr>
        <w:pageBreakBefore w:val="0"/>
        <w:kinsoku/>
        <w:wordWrap/>
        <w:overflowPunct/>
        <w:topLinePunct w:val="0"/>
        <w:bidi w:val="0"/>
        <w:adjustRightInd w:val="0"/>
        <w:snapToGrid w:val="0"/>
        <w:spacing w:line="560" w:lineRule="exact"/>
        <w:ind w:firstLine="720"/>
        <w:textAlignment w:val="auto"/>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widowControl/>
        <w:spacing w:line="600" w:lineRule="exact"/>
        <w:ind w:firstLine="640" w:firstLineChars="200"/>
        <w:jc w:val="left"/>
        <w:rPr>
          <w:rFonts w:hint="default" w:ascii="仿宋_GB2312" w:hAnsi="宋体" w:eastAsia="仿宋_GB2312"/>
          <w:color w:val="0000FF"/>
          <w:sz w:val="32"/>
          <w:szCs w:val="32"/>
          <w:lang w:val="en-US" w:eastAsia="zh-CN"/>
        </w:rPr>
      </w:pPr>
      <w:r>
        <w:rPr>
          <w:rFonts w:hint="eastAsia" w:ascii="仿宋_GB2312" w:hAnsi="宋体" w:eastAsia="仿宋_GB2312"/>
          <w:sz w:val="32"/>
          <w:szCs w:val="32"/>
          <w:lang w:val="en-US" w:eastAsia="zh-CN"/>
        </w:rPr>
        <w:t>根据《</w:t>
      </w:r>
      <w:r>
        <w:rPr>
          <w:rFonts w:hint="eastAsia" w:ascii="仿宋_GB2312" w:hAnsi="宋体" w:eastAsia="仿宋_GB2312" w:cs="宋体"/>
          <w:kern w:val="0"/>
          <w:sz w:val="32"/>
          <w:szCs w:val="32"/>
        </w:rPr>
        <w:t>中共壤塘县委政法委员会关于转发</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中共阿坝州委政法委员会关于提醒将司法救助资金纳入财政预算的函</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的通知</w:t>
      </w:r>
      <w:r>
        <w:rPr>
          <w:rFonts w:hint="eastAsia" w:ascii="仿宋_GB2312" w:hAnsi="宋体" w:eastAsia="仿宋_GB2312" w:cs="宋体"/>
          <w:kern w:val="0"/>
          <w:sz w:val="32"/>
          <w:szCs w:val="32"/>
          <w:lang w:eastAsia="zh-CN"/>
        </w:rPr>
        <w:t>》的文件要求，每年将</w:t>
      </w:r>
      <w:r>
        <w:rPr>
          <w:rFonts w:hint="eastAsia" w:ascii="仿宋_GB2312" w:hAnsi="宋体" w:eastAsia="仿宋_GB2312" w:cs="宋体"/>
          <w:kern w:val="0"/>
          <w:sz w:val="32"/>
          <w:szCs w:val="32"/>
          <w:lang w:val="en-US" w:eastAsia="zh-CN"/>
        </w:rPr>
        <w:t>3万元的司法救助金纳入财政预算中。</w:t>
      </w:r>
    </w:p>
    <w:p>
      <w:pPr>
        <w:pageBreakBefore w:val="0"/>
        <w:kinsoku/>
        <w:wordWrap/>
        <w:overflowPunct/>
        <w:topLinePunct w:val="0"/>
        <w:bidi w:val="0"/>
        <w:adjustRightInd w:val="0"/>
        <w:snapToGrid w:val="0"/>
        <w:spacing w:line="560" w:lineRule="exact"/>
        <w:ind w:firstLine="720"/>
        <w:textAlignment w:val="auto"/>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w:t>
      </w:r>
    </w:p>
    <w:p>
      <w:pPr>
        <w:pageBreakBefore w:val="0"/>
        <w:kinsoku/>
        <w:wordWrap/>
        <w:overflowPunct/>
        <w:topLinePunct w:val="0"/>
        <w:bidi w:val="0"/>
        <w:spacing w:line="560" w:lineRule="exact"/>
        <w:ind w:firstLine="640" w:firstLineChars="200"/>
        <w:textAlignment w:val="auto"/>
        <w:rPr>
          <w:rFonts w:ascii="仿宋_GB2312" w:hAnsi="宋体" w:eastAsia="仿宋_GB2312"/>
          <w:sz w:val="32"/>
          <w:szCs w:val="32"/>
          <w:lang w:val="zh-CN"/>
        </w:rPr>
      </w:pPr>
      <w:r>
        <w:rPr>
          <w:rFonts w:hint="eastAsia" w:ascii="楷体_GB2312" w:hAnsi="宋体" w:eastAsia="楷体_GB2312"/>
          <w:sz w:val="32"/>
          <w:szCs w:val="32"/>
          <w:lang w:val="zh-CN"/>
        </w:rPr>
        <w:t>1.资金计划。</w:t>
      </w:r>
      <w:r>
        <w:rPr>
          <w:rFonts w:hint="eastAsia" w:ascii="仿宋_GB2312" w:hAnsi="宋体" w:eastAsia="仿宋_GB2312"/>
          <w:sz w:val="32"/>
          <w:szCs w:val="32"/>
          <w:lang w:val="en-US" w:eastAsia="zh-CN"/>
        </w:rPr>
        <w:t>2021年</w:t>
      </w:r>
      <w:r>
        <w:rPr>
          <w:rFonts w:hint="eastAsia" w:ascii="仿宋_GB2312" w:hAnsi="仿宋_GB2312" w:eastAsia="仿宋_GB2312" w:cs="仿宋_GB2312"/>
          <w:color w:val="000000"/>
          <w:kern w:val="0"/>
          <w:sz w:val="32"/>
          <w:szCs w:val="32"/>
          <w:lang w:eastAsia="zh-CN"/>
        </w:rPr>
        <w:t>司法救助金</w:t>
      </w:r>
      <w:r>
        <w:rPr>
          <w:rFonts w:hint="eastAsia" w:ascii="仿宋_GB2312" w:hAnsi="宋体" w:eastAsia="仿宋_GB2312"/>
          <w:sz w:val="32"/>
          <w:szCs w:val="32"/>
          <w:lang w:val="en-US" w:eastAsia="zh-CN"/>
        </w:rPr>
        <w:t>项目资金全年预算数3万元，全年执行数4万元，预算执行率133%。其中全部为财政拨款资金。</w:t>
      </w:r>
    </w:p>
    <w:p>
      <w:pPr>
        <w:pageBreakBefore w:val="0"/>
        <w:kinsoku/>
        <w:wordWrap/>
        <w:overflowPunct/>
        <w:topLinePunct w:val="0"/>
        <w:bidi w:val="0"/>
        <w:adjustRightInd w:val="0"/>
        <w:snapToGrid w:val="0"/>
        <w:spacing w:line="560" w:lineRule="exact"/>
        <w:ind w:firstLine="640" w:firstLineChars="200"/>
        <w:textAlignment w:val="auto"/>
        <w:rPr>
          <w:rFonts w:ascii="仿宋_GB2312" w:hAnsi="宋体" w:eastAsia="仿宋_GB2312"/>
          <w:sz w:val="32"/>
          <w:szCs w:val="32"/>
          <w:lang w:val="zh-CN"/>
        </w:rPr>
      </w:pPr>
      <w:r>
        <w:rPr>
          <w:rFonts w:hint="eastAsia" w:ascii="楷体_GB2312" w:hAnsi="宋体" w:eastAsia="楷体_GB2312"/>
          <w:sz w:val="32"/>
          <w:szCs w:val="32"/>
          <w:lang w:val="zh-CN"/>
        </w:rPr>
        <w:t>2.资金到位。</w:t>
      </w:r>
      <w:r>
        <w:rPr>
          <w:rFonts w:hint="eastAsia" w:ascii="仿宋_GB2312" w:hAnsi="宋体" w:eastAsia="仿宋_GB2312"/>
          <w:sz w:val="32"/>
          <w:szCs w:val="32"/>
          <w:lang w:val="en-US" w:eastAsia="zh-CN"/>
        </w:rPr>
        <w:t>2021年</w:t>
      </w:r>
      <w:r>
        <w:rPr>
          <w:rFonts w:hint="eastAsia" w:ascii="仿宋_GB2312" w:hAnsi="仿宋_GB2312" w:eastAsia="仿宋_GB2312" w:cs="仿宋_GB2312"/>
          <w:color w:val="000000"/>
          <w:kern w:val="0"/>
          <w:sz w:val="32"/>
          <w:szCs w:val="32"/>
          <w:lang w:eastAsia="zh-CN"/>
        </w:rPr>
        <w:t>司法救助金</w:t>
      </w:r>
      <w:r>
        <w:rPr>
          <w:rFonts w:hint="eastAsia" w:ascii="仿宋_GB2312" w:hAnsi="宋体" w:eastAsia="仿宋_GB2312"/>
          <w:sz w:val="32"/>
          <w:szCs w:val="32"/>
          <w:lang w:val="en-US" w:eastAsia="zh-CN"/>
        </w:rPr>
        <w:t>项目</w:t>
      </w:r>
      <w:r>
        <w:rPr>
          <w:rFonts w:hint="eastAsia" w:ascii="仿宋_GB2312" w:hAnsi="宋体" w:eastAsia="仿宋_GB2312"/>
          <w:sz w:val="32"/>
          <w:szCs w:val="32"/>
          <w:lang w:val="zh-CN"/>
        </w:rPr>
        <w:t>资金到位率</w:t>
      </w:r>
      <w:r>
        <w:rPr>
          <w:rFonts w:hint="eastAsia" w:ascii="仿宋_GB2312" w:hAnsi="宋体" w:eastAsia="仿宋_GB2312"/>
          <w:sz w:val="32"/>
          <w:szCs w:val="32"/>
          <w:lang w:val="en-US" w:eastAsia="zh-CN"/>
        </w:rPr>
        <w:t>100%</w:t>
      </w:r>
      <w:r>
        <w:rPr>
          <w:rFonts w:hint="eastAsia" w:ascii="仿宋_GB2312" w:hAnsi="宋体" w:eastAsia="仿宋_GB2312"/>
          <w:sz w:val="32"/>
          <w:szCs w:val="32"/>
          <w:lang w:val="zh-CN"/>
        </w:rPr>
        <w:t>。</w:t>
      </w:r>
    </w:p>
    <w:p>
      <w:pPr>
        <w:pageBreakBefore w:val="0"/>
        <w:kinsoku/>
        <w:wordWrap/>
        <w:overflowPunct/>
        <w:topLinePunct w:val="0"/>
        <w:bidi w:val="0"/>
        <w:spacing w:line="560" w:lineRule="exact"/>
        <w:ind w:firstLine="640" w:firstLineChars="200"/>
        <w:jc w:val="left"/>
        <w:textAlignment w:val="auto"/>
        <w:rPr>
          <w:rFonts w:hint="eastAsia" w:ascii="仿宋_GB2312" w:hAnsi="宋体" w:eastAsia="仿宋_GB2312"/>
          <w:sz w:val="32"/>
          <w:szCs w:val="32"/>
          <w:lang w:val="en-US" w:eastAsia="zh-CN"/>
        </w:rPr>
      </w:pPr>
      <w:r>
        <w:rPr>
          <w:rFonts w:hint="eastAsia" w:ascii="楷体_GB2312" w:hAnsi="宋体" w:eastAsia="楷体_GB2312"/>
          <w:sz w:val="32"/>
          <w:szCs w:val="32"/>
          <w:lang w:val="zh-CN"/>
        </w:rPr>
        <w:t>3.资金使用。</w:t>
      </w:r>
      <w:r>
        <w:rPr>
          <w:rFonts w:hint="eastAsia" w:ascii="仿宋_GB2312" w:hAnsi="宋体" w:eastAsia="仿宋_GB2312"/>
          <w:sz w:val="32"/>
          <w:szCs w:val="32"/>
          <w:lang w:val="en-US" w:eastAsia="zh-CN"/>
        </w:rPr>
        <w:t>我院严格按照《人民检察院国家司法救助工作细则》文件规定使用专项资金。</w:t>
      </w:r>
    </w:p>
    <w:p>
      <w:pPr>
        <w:pageBreakBefore w:val="0"/>
        <w:kinsoku/>
        <w:wordWrap/>
        <w:overflowPunct/>
        <w:topLinePunct w:val="0"/>
        <w:bidi w:val="0"/>
        <w:adjustRightInd w:val="0"/>
        <w:snapToGrid w:val="0"/>
        <w:spacing w:line="560" w:lineRule="exact"/>
        <w:ind w:firstLine="720"/>
        <w:textAlignment w:val="auto"/>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pageBreakBefore w:val="0"/>
        <w:kinsoku/>
        <w:wordWrap/>
        <w:overflowPunct/>
        <w:topLinePunct w:val="0"/>
        <w:bidi w:val="0"/>
        <w:adjustRightInd w:val="0"/>
        <w:snapToGrid w:val="0"/>
        <w:spacing w:line="560" w:lineRule="exact"/>
        <w:ind w:firstLine="72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司法救助金的发放，严格按照《人民检察院国家司法救助工作细则》的规定。</w:t>
      </w:r>
    </w:p>
    <w:p>
      <w:pPr>
        <w:pageBreakBefore w:val="0"/>
        <w:kinsoku/>
        <w:wordWrap/>
        <w:overflowPunct/>
        <w:topLinePunct w:val="0"/>
        <w:bidi w:val="0"/>
        <w:adjustRightInd w:val="0"/>
        <w:snapToGrid w:val="0"/>
        <w:spacing w:line="560" w:lineRule="exact"/>
        <w:ind w:firstLine="720"/>
        <w:textAlignment w:val="auto"/>
        <w:rPr>
          <w:rFonts w:ascii="黑体" w:hAnsi="宋体" w:eastAsia="黑体"/>
          <w:sz w:val="32"/>
          <w:szCs w:val="32"/>
        </w:rPr>
      </w:pPr>
      <w:r>
        <w:rPr>
          <w:rFonts w:hint="eastAsia" w:ascii="黑体" w:hAnsi="宋体" w:eastAsia="黑体"/>
          <w:sz w:val="32"/>
          <w:szCs w:val="32"/>
        </w:rPr>
        <w:t>三、项目实施及管理情况</w:t>
      </w:r>
    </w:p>
    <w:p>
      <w:pPr>
        <w:pageBreakBefore w:val="0"/>
        <w:kinsoku/>
        <w:wordWrap/>
        <w:overflowPunct/>
        <w:topLinePunct w:val="0"/>
        <w:bidi w:val="0"/>
        <w:adjustRightInd w:val="0"/>
        <w:snapToGrid w:val="0"/>
        <w:spacing w:line="560" w:lineRule="exact"/>
        <w:ind w:firstLine="720"/>
        <w:textAlignment w:val="auto"/>
        <w:rPr>
          <w:rFonts w:ascii="仿宋_GB2312" w:hAnsi="宋体" w:eastAsia="仿宋_GB2312"/>
          <w:sz w:val="32"/>
          <w:szCs w:val="32"/>
          <w:lang w:val="zh-CN"/>
        </w:rPr>
      </w:pPr>
      <w:r>
        <w:rPr>
          <w:rFonts w:hint="eastAsia" w:ascii="仿宋_GB2312" w:hAnsi="宋体" w:eastAsia="仿宋_GB2312"/>
          <w:sz w:val="32"/>
          <w:szCs w:val="32"/>
          <w:lang w:val="zh-CN"/>
        </w:rPr>
        <w:t>结合项目组织实施管理办法，重点围绕以下内容进行分析评价，并对自评中发现的问题分析说明。</w:t>
      </w:r>
    </w:p>
    <w:p>
      <w:pPr>
        <w:pageBreakBefore w:val="0"/>
        <w:numPr>
          <w:ilvl w:val="0"/>
          <w:numId w:val="4"/>
        </w:numPr>
        <w:kinsoku/>
        <w:wordWrap/>
        <w:overflowPunct/>
        <w:topLinePunct w:val="0"/>
        <w:bidi w:val="0"/>
        <w:adjustRightInd w:val="0"/>
        <w:snapToGrid w:val="0"/>
        <w:spacing w:line="560" w:lineRule="exact"/>
        <w:ind w:firstLine="720"/>
        <w:textAlignment w:val="auto"/>
        <w:rPr>
          <w:rFonts w:hint="eastAsia" w:ascii="楷体_GB2312" w:hAnsi="宋体" w:eastAsia="楷体_GB2312"/>
          <w:b/>
          <w:sz w:val="32"/>
          <w:szCs w:val="32"/>
          <w:lang w:val="zh-CN"/>
        </w:rPr>
      </w:pPr>
      <w:r>
        <w:rPr>
          <w:rFonts w:hint="eastAsia" w:ascii="楷体_GB2312" w:hAnsi="宋体" w:eastAsia="楷体_GB2312"/>
          <w:b/>
          <w:sz w:val="32"/>
          <w:szCs w:val="32"/>
          <w:lang w:val="zh-CN"/>
        </w:rPr>
        <w:t>项目组织架构及实施流程</w:t>
      </w:r>
    </w:p>
    <w:p>
      <w:pPr>
        <w:pageBreakBefore w:val="0"/>
        <w:numPr>
          <w:ilvl w:val="0"/>
          <w:numId w:val="0"/>
        </w:numPr>
        <w:kinsoku/>
        <w:wordWrap/>
        <w:overflowPunct/>
        <w:topLinePunct w:val="0"/>
        <w:bidi w:val="0"/>
        <w:adjustRightInd w:val="0"/>
        <w:snapToGrid w:val="0"/>
        <w:spacing w:line="560" w:lineRule="exact"/>
        <w:ind w:firstLine="640" w:firstLineChars="200"/>
        <w:textAlignment w:val="auto"/>
        <w:rPr>
          <w:rFonts w:hint="default" w:ascii="楷体_GB2312" w:hAnsi="宋体" w:eastAsia="楷体_GB2312"/>
          <w:b/>
          <w:sz w:val="32"/>
          <w:szCs w:val="32"/>
          <w:lang w:val="en-US" w:eastAsia="zh-CN"/>
        </w:rPr>
      </w:pPr>
      <w:r>
        <w:rPr>
          <w:rFonts w:hint="eastAsia" w:ascii="仿宋_GB2312" w:hAnsi="宋体" w:eastAsia="仿宋_GB2312"/>
          <w:sz w:val="32"/>
          <w:szCs w:val="32"/>
          <w:lang w:val="en-US" w:eastAsia="zh-CN"/>
        </w:rPr>
        <w:t>2021年</w:t>
      </w:r>
      <w:r>
        <w:rPr>
          <w:rFonts w:hint="eastAsia" w:ascii="仿宋_GB2312" w:hAnsi="仿宋_GB2312" w:eastAsia="仿宋_GB2312" w:cs="仿宋_GB2312"/>
          <w:color w:val="000000"/>
          <w:kern w:val="0"/>
          <w:sz w:val="32"/>
          <w:szCs w:val="32"/>
          <w:lang w:eastAsia="zh-CN"/>
        </w:rPr>
        <w:t>司法救助金包括</w:t>
      </w:r>
      <w:r>
        <w:rPr>
          <w:rFonts w:hint="eastAsia" w:ascii="仿宋_GB2312" w:hAnsi="仿宋_GB2312" w:eastAsia="仿宋_GB2312" w:cs="仿宋_GB2312"/>
          <w:color w:val="000000"/>
          <w:kern w:val="0"/>
          <w:sz w:val="32"/>
          <w:szCs w:val="32"/>
          <w:lang w:val="en-US" w:eastAsia="zh-CN"/>
        </w:rPr>
        <w:t>2021年全年支出的司法救助金。</w:t>
      </w:r>
    </w:p>
    <w:p>
      <w:pPr>
        <w:pageBreakBefore w:val="0"/>
        <w:kinsoku/>
        <w:wordWrap/>
        <w:overflowPunct/>
        <w:topLinePunct w:val="0"/>
        <w:bidi w:val="0"/>
        <w:adjustRightInd w:val="0"/>
        <w:snapToGrid w:val="0"/>
        <w:spacing w:line="560" w:lineRule="exact"/>
        <w:ind w:firstLine="720"/>
        <w:textAlignment w:val="auto"/>
        <w:rPr>
          <w:rFonts w:hint="eastAsia" w:ascii="仿宋_GB2312" w:hAnsi="宋体" w:eastAsia="仿宋_GB2312"/>
          <w:color w:val="0000FF"/>
          <w:sz w:val="32"/>
          <w:szCs w:val="32"/>
          <w:lang w:val="zh-CN"/>
        </w:rPr>
      </w:pPr>
      <w:r>
        <w:rPr>
          <w:rFonts w:hint="eastAsia" w:ascii="楷体_GB2312" w:hAnsi="宋体" w:eastAsia="楷体_GB2312"/>
          <w:b/>
          <w:sz w:val="32"/>
          <w:szCs w:val="32"/>
          <w:lang w:val="zh-CN"/>
        </w:rPr>
        <w:t>（二）项目管理情况</w:t>
      </w:r>
    </w:p>
    <w:p>
      <w:pPr>
        <w:pageBreakBefore w:val="0"/>
        <w:kinsoku/>
        <w:wordWrap/>
        <w:overflowPunct/>
        <w:topLinePunct w:val="0"/>
        <w:bidi w:val="0"/>
        <w:spacing w:line="560" w:lineRule="exact"/>
        <w:jc w:val="left"/>
        <w:textAlignment w:val="auto"/>
        <w:rPr>
          <w:rFonts w:hint="eastAsia" w:ascii="仿宋_GB2312" w:hAnsi="仿宋_GB2312" w:eastAsia="仿宋_GB2312" w:cs="仿宋_GB2312"/>
          <w:sz w:val="32"/>
          <w:szCs w:val="32"/>
          <w:lang w:val="zh-CN" w:eastAsia="zh-CN"/>
        </w:rPr>
      </w:pPr>
      <w:r>
        <w:rPr>
          <w:rFonts w:hint="eastAsia" w:ascii="仿宋_GB2312" w:hAnsi="宋体" w:eastAsia="仿宋_GB2312"/>
          <w:sz w:val="32"/>
          <w:szCs w:val="32"/>
          <w:lang w:val="en-US" w:eastAsia="zh-CN"/>
        </w:rPr>
        <w:t xml:space="preserve">  </w:t>
      </w:r>
      <w:r>
        <w:rPr>
          <w:rFonts w:hint="eastAsia" w:ascii="仿宋_GB2312" w:hAnsi="宋体" w:eastAsia="仿宋_GB2312"/>
          <w:color w:val="0000FF"/>
          <w:sz w:val="32"/>
          <w:szCs w:val="32"/>
          <w:lang w:val="en-US" w:eastAsia="zh-CN"/>
        </w:rPr>
        <w:t xml:space="preserve">  </w:t>
      </w:r>
      <w:r>
        <w:rPr>
          <w:rFonts w:hint="eastAsia" w:ascii="仿宋_GB2312" w:hAnsi="仿宋_GB2312" w:eastAsia="仿宋_GB2312" w:cs="仿宋_GB2312"/>
          <w:sz w:val="32"/>
          <w:szCs w:val="32"/>
          <w:lang w:eastAsia="zh-CN"/>
        </w:rPr>
        <w:t>由我院第三检察部负责该项工作。</w:t>
      </w:r>
    </w:p>
    <w:p>
      <w:pPr>
        <w:pageBreakBefore w:val="0"/>
        <w:kinsoku/>
        <w:wordWrap/>
        <w:overflowPunct/>
        <w:topLinePunct w:val="0"/>
        <w:bidi w:val="0"/>
        <w:adjustRightInd w:val="0"/>
        <w:snapToGrid w:val="0"/>
        <w:spacing w:line="560" w:lineRule="exact"/>
        <w:ind w:firstLine="720"/>
        <w:textAlignment w:val="auto"/>
        <w:rPr>
          <w:rFonts w:hint="eastAsia" w:ascii="楷体_GB2312" w:hAnsi="宋体" w:eastAsia="楷体_GB2312"/>
          <w:b/>
          <w:sz w:val="32"/>
          <w:szCs w:val="32"/>
          <w:lang w:val="zh-CN"/>
        </w:rPr>
      </w:pPr>
      <w:r>
        <w:rPr>
          <w:rFonts w:hint="eastAsia" w:ascii="楷体_GB2312" w:hAnsi="宋体" w:eastAsia="楷体_GB2312"/>
          <w:b/>
          <w:sz w:val="32"/>
          <w:szCs w:val="32"/>
          <w:lang w:val="zh-CN"/>
        </w:rPr>
        <w:t>（三）项目监管情况</w:t>
      </w:r>
    </w:p>
    <w:p>
      <w:pPr>
        <w:pageBreakBefore w:val="0"/>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我院每支付一笔</w:t>
      </w:r>
      <w:r>
        <w:rPr>
          <w:rFonts w:hint="eastAsia" w:ascii="仿宋_GB2312" w:hAnsi="仿宋_GB2312" w:eastAsia="仿宋_GB2312" w:cs="仿宋_GB2312"/>
          <w:color w:val="000000"/>
          <w:kern w:val="0"/>
          <w:sz w:val="32"/>
          <w:szCs w:val="32"/>
          <w:lang w:eastAsia="zh-CN"/>
        </w:rPr>
        <w:t>司法救助金，都需通过县委政法委、县财政的审核。</w:t>
      </w:r>
    </w:p>
    <w:p>
      <w:pPr>
        <w:pageBreakBefore w:val="0"/>
        <w:kinsoku/>
        <w:wordWrap/>
        <w:overflowPunct/>
        <w:topLinePunct w:val="0"/>
        <w:bidi w:val="0"/>
        <w:adjustRightInd w:val="0"/>
        <w:snapToGrid w:val="0"/>
        <w:spacing w:line="560" w:lineRule="exact"/>
        <w:ind w:firstLine="720"/>
        <w:textAlignment w:val="auto"/>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pageBreakBefore w:val="0"/>
        <w:kinsoku/>
        <w:wordWrap/>
        <w:overflowPunct/>
        <w:topLinePunct w:val="0"/>
        <w:bidi w:val="0"/>
        <w:adjustRightInd w:val="0"/>
        <w:snapToGrid w:val="0"/>
        <w:spacing w:line="560" w:lineRule="exact"/>
        <w:ind w:firstLine="720"/>
        <w:textAlignment w:val="auto"/>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pageBreakBefore w:val="0"/>
        <w:numPr>
          <w:ilvl w:val="0"/>
          <w:numId w:val="0"/>
        </w:numPr>
        <w:kinsoku/>
        <w:wordWrap/>
        <w:overflowPunct/>
        <w:topLinePunct w:val="0"/>
        <w:bidi w:val="0"/>
        <w:spacing w:line="56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1.质量指标：司法救助上报情况年度指标值100%，全年完成值100%；司法救助审查情况年度指标值100%，全年完成值100%；司法救助资金发放情况年度指标值100%，全年完成值133%。</w:t>
      </w:r>
    </w:p>
    <w:p>
      <w:pPr>
        <w:pageBreakBefore w:val="0"/>
        <w:kinsoku/>
        <w:wordWrap/>
        <w:overflowPunct/>
        <w:topLinePunct w:val="0"/>
        <w:bidi w:val="0"/>
        <w:spacing w:line="56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2.时效指标：资金到位率年度指标值100%，全年完成值100%；项目完成时效年度指标值2021年12月，全年完成值2021年12月。</w:t>
      </w:r>
    </w:p>
    <w:p>
      <w:pPr>
        <w:pageBreakBefore w:val="0"/>
        <w:numPr>
          <w:ilvl w:val="0"/>
          <w:numId w:val="0"/>
        </w:numPr>
        <w:kinsoku/>
        <w:wordWrap/>
        <w:overflowPunct/>
        <w:topLinePunct w:val="0"/>
        <w:bidi w:val="0"/>
        <w:spacing w:line="56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3.成本指标：司法救助金经费年度指标值3万元，全年完成值4万元。</w:t>
      </w:r>
    </w:p>
    <w:p>
      <w:pPr>
        <w:pageBreakBefore w:val="0"/>
        <w:numPr>
          <w:ilvl w:val="0"/>
          <w:numId w:val="0"/>
        </w:numPr>
        <w:kinsoku/>
        <w:wordWrap/>
        <w:overflowPunct/>
        <w:topLinePunct w:val="0"/>
        <w:bidi w:val="0"/>
        <w:spacing w:line="56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4.社会效益指标：社会稳定和谐发展年度指标值100%，全年完成值100%。</w:t>
      </w:r>
    </w:p>
    <w:p>
      <w:pPr>
        <w:pageBreakBefore w:val="0"/>
        <w:numPr>
          <w:ilvl w:val="0"/>
          <w:numId w:val="0"/>
        </w:numPr>
        <w:kinsoku/>
        <w:wordWrap/>
        <w:overflowPunct/>
        <w:topLinePunct w:val="0"/>
        <w:bidi w:val="0"/>
        <w:spacing w:line="56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5.可持续影响指标：一直开展司法救助工作年度指标值100%，全年完成值100%。</w:t>
      </w:r>
    </w:p>
    <w:p>
      <w:pPr>
        <w:pageBreakBefore w:val="0"/>
        <w:numPr>
          <w:ilvl w:val="0"/>
          <w:numId w:val="0"/>
        </w:numPr>
        <w:kinsoku/>
        <w:wordWrap/>
        <w:overflowPunct/>
        <w:topLinePunct w:val="0"/>
        <w:bidi w:val="0"/>
        <w:spacing w:line="560" w:lineRule="exact"/>
        <w:ind w:firstLine="640" w:firstLineChars="200"/>
        <w:textAlignment w:val="auto"/>
        <w:rPr>
          <w:rFonts w:hint="eastAsia" w:ascii="仿宋_GB2312" w:hAnsi="宋体" w:eastAsia="仿宋_GB2312"/>
          <w:sz w:val="32"/>
          <w:szCs w:val="32"/>
          <w:lang w:val="zh-CN" w:eastAsia="zh-CN"/>
        </w:rPr>
      </w:pPr>
      <w:r>
        <w:rPr>
          <w:rFonts w:hint="eastAsia" w:ascii="仿宋_GB2312" w:hAnsi="宋体" w:eastAsia="仿宋_GB2312"/>
          <w:sz w:val="32"/>
          <w:szCs w:val="32"/>
          <w:lang w:val="en-US" w:eastAsia="zh-CN"/>
        </w:rPr>
        <w:t>6.服务对象满意度指标：对司法救助工作的满意度年度指标值100%，全年完成值100%；对办理司法救助工作人员的满意度年度指标值100%，全年完成值100%，达到预期效果；</w:t>
      </w:r>
    </w:p>
    <w:p>
      <w:pPr>
        <w:pageBreakBefore w:val="0"/>
        <w:kinsoku/>
        <w:wordWrap/>
        <w:overflowPunct/>
        <w:topLinePunct w:val="0"/>
        <w:bidi w:val="0"/>
        <w:adjustRightInd w:val="0"/>
        <w:snapToGrid w:val="0"/>
        <w:spacing w:line="560" w:lineRule="exact"/>
        <w:ind w:firstLine="720"/>
        <w:textAlignment w:val="auto"/>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仿宋_GB2312" w:hAnsi="仿宋_GB2312" w:eastAsia="仿宋_GB2312" w:cs="仿宋_GB2312"/>
          <w:color w:val="000000"/>
          <w:sz w:val="32"/>
          <w:szCs w:val="32"/>
        </w:rPr>
      </w:pPr>
      <w:bookmarkStart w:id="118" w:name="_Toc18302"/>
      <w:r>
        <w:rPr>
          <w:rFonts w:hint="eastAsia" w:ascii="仿宋_GB2312" w:hAnsi="仿宋_GB2312" w:eastAsia="仿宋_GB2312" w:cs="仿宋_GB2312"/>
          <w:sz w:val="32"/>
          <w:szCs w:val="32"/>
          <w:lang w:eastAsia="zh-CN"/>
        </w:rPr>
        <w:t>通过项目实施，</w:t>
      </w:r>
      <w:r>
        <w:rPr>
          <w:rFonts w:hint="eastAsia" w:ascii="仿宋_GB2312" w:hAnsi="仿宋" w:eastAsia="仿宋_GB2312" w:cs="宋体"/>
          <w:kern w:val="0"/>
          <w:sz w:val="32"/>
          <w:szCs w:val="32"/>
          <w:lang w:eastAsia="zh-CN"/>
        </w:rPr>
        <w:t>促进社会和谐稳定，彰显了检察温度。</w:t>
      </w:r>
      <w:bookmarkEnd w:id="118"/>
    </w:p>
    <w:p>
      <w:pPr>
        <w:pageBreakBefore w:val="0"/>
        <w:kinsoku/>
        <w:wordWrap/>
        <w:overflowPunct/>
        <w:topLinePunct w:val="0"/>
        <w:bidi w:val="0"/>
        <w:adjustRightInd w:val="0"/>
        <w:snapToGrid w:val="0"/>
        <w:spacing w:line="560" w:lineRule="exact"/>
        <w:ind w:firstLine="720"/>
        <w:textAlignment w:val="auto"/>
        <w:rPr>
          <w:rFonts w:ascii="黑体" w:hAnsi="宋体" w:eastAsia="黑体"/>
          <w:sz w:val="32"/>
          <w:szCs w:val="32"/>
        </w:rPr>
      </w:pPr>
      <w:r>
        <w:rPr>
          <w:rFonts w:hint="eastAsia" w:ascii="黑体" w:hAnsi="宋体" w:eastAsia="黑体"/>
          <w:sz w:val="32"/>
          <w:szCs w:val="32"/>
        </w:rPr>
        <w:t>五、评价结论及建议</w:t>
      </w:r>
    </w:p>
    <w:p>
      <w:pPr>
        <w:pageBreakBefore w:val="0"/>
        <w:kinsoku/>
        <w:wordWrap/>
        <w:overflowPunct/>
        <w:topLinePunct w:val="0"/>
        <w:bidi w:val="0"/>
        <w:adjustRightInd w:val="0"/>
        <w:snapToGrid w:val="0"/>
        <w:spacing w:line="560" w:lineRule="exact"/>
        <w:ind w:firstLine="720"/>
        <w:textAlignment w:val="auto"/>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widowControl/>
        <w:spacing w:line="600" w:lineRule="exact"/>
        <w:ind w:firstLine="640" w:firstLineChars="200"/>
        <w:jc w:val="left"/>
        <w:rPr>
          <w:rFonts w:hint="eastAsia" w:ascii="仿宋_GB2312" w:hAnsi="宋体" w:eastAsia="仿宋_GB2312" w:cs="宋体"/>
          <w:kern w:val="0"/>
          <w:sz w:val="32"/>
          <w:szCs w:val="32"/>
        </w:rPr>
      </w:pPr>
      <w:r>
        <w:rPr>
          <w:rFonts w:hint="eastAsia" w:ascii="仿宋_GB2312" w:hAnsi="仿宋_GB2312" w:eastAsia="仿宋_GB2312" w:cs="仿宋_GB2312"/>
          <w:sz w:val="32"/>
          <w:szCs w:val="32"/>
          <w:lang w:eastAsia="zh-CN"/>
        </w:rPr>
        <w:t>我院</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项目实施，</w:t>
      </w:r>
      <w:r>
        <w:rPr>
          <w:rFonts w:hint="eastAsia" w:ascii="仿宋_GB2312" w:hAnsi="宋体" w:eastAsia="仿宋_GB2312" w:cs="仿宋_GB2312"/>
          <w:i w:val="0"/>
          <w:caps w:val="0"/>
          <w:color w:val="000000"/>
          <w:spacing w:val="0"/>
          <w:sz w:val="32"/>
          <w:szCs w:val="32"/>
          <w:shd w:val="clear" w:fill="FFFFFF"/>
        </w:rPr>
        <w:t>有利于彰显国家人文关怀，维护社会公平正义。司法救助资金主要用于</w:t>
      </w:r>
      <w:r>
        <w:rPr>
          <w:rFonts w:hint="eastAsia" w:ascii="仿宋_GB2312" w:hAnsi="宋体" w:eastAsia="仿宋_GB2312" w:cs="宋体"/>
          <w:kern w:val="0"/>
          <w:sz w:val="32"/>
          <w:szCs w:val="32"/>
        </w:rPr>
        <w:t>是</w:t>
      </w:r>
      <w:r>
        <w:rPr>
          <w:rFonts w:hint="eastAsia" w:ascii="仿宋_GB2312" w:hAnsi="宋体" w:eastAsia="仿宋_GB2312" w:cs="宋体"/>
          <w:kern w:val="0"/>
          <w:sz w:val="32"/>
          <w:szCs w:val="32"/>
          <w:lang w:eastAsia="zh-CN"/>
        </w:rPr>
        <w:t>帮助</w:t>
      </w:r>
      <w:r>
        <w:rPr>
          <w:rFonts w:hint="eastAsia" w:ascii="仿宋_GB2312" w:hAnsi="宋体" w:eastAsia="仿宋_GB2312" w:cs="宋体"/>
          <w:kern w:val="0"/>
          <w:sz w:val="32"/>
          <w:szCs w:val="32"/>
        </w:rPr>
        <w:t>遭受犯罪侵害或者民事侵权，无法通过诉讼获得有效赔偿，生活面临急迫困难的当事人</w:t>
      </w:r>
      <w:r>
        <w:rPr>
          <w:rFonts w:hint="eastAsia" w:ascii="仿宋_GB2312" w:hAnsi="宋体" w:eastAsia="仿宋_GB2312" w:cs="仿宋_GB2312"/>
          <w:i w:val="0"/>
          <w:caps w:val="0"/>
          <w:color w:val="000000"/>
          <w:spacing w:val="0"/>
          <w:sz w:val="32"/>
          <w:szCs w:val="32"/>
          <w:shd w:val="clear" w:fill="FFFFFF"/>
        </w:rPr>
        <w:t>或其近亲属摆脱困境，改善</w:t>
      </w:r>
      <w:r>
        <w:rPr>
          <w:rFonts w:hint="eastAsia" w:ascii="仿宋_GB2312" w:hAnsi="宋体" w:eastAsia="仿宋_GB2312" w:cs="仿宋_GB2312"/>
          <w:i w:val="0"/>
          <w:caps w:val="0"/>
          <w:color w:val="000000"/>
          <w:spacing w:val="0"/>
          <w:sz w:val="32"/>
          <w:szCs w:val="32"/>
          <w:shd w:val="clear" w:fill="FFFFFF"/>
          <w:lang w:eastAsia="zh-CN"/>
        </w:rPr>
        <w:t>其</w:t>
      </w:r>
      <w:r>
        <w:rPr>
          <w:rFonts w:hint="eastAsia" w:ascii="仿宋_GB2312" w:hAnsi="宋体" w:eastAsia="仿宋_GB2312" w:cs="仿宋_GB2312"/>
          <w:i w:val="0"/>
          <w:caps w:val="0"/>
          <w:color w:val="000000"/>
          <w:spacing w:val="0"/>
          <w:sz w:val="32"/>
          <w:szCs w:val="32"/>
          <w:shd w:val="clear" w:fill="FFFFFF"/>
        </w:rPr>
        <w:t>生产生活状况</w:t>
      </w:r>
      <w:r>
        <w:rPr>
          <w:rFonts w:hint="eastAsia" w:ascii="仿宋_GB2312" w:hAnsi="宋体" w:eastAsia="仿宋_GB2312" w:cs="宋体"/>
          <w:kern w:val="0"/>
          <w:sz w:val="32"/>
          <w:szCs w:val="32"/>
        </w:rPr>
        <w:t>。</w:t>
      </w:r>
    </w:p>
    <w:p>
      <w:pPr>
        <w:pageBreakBefore w:val="0"/>
        <w:kinsoku/>
        <w:wordWrap/>
        <w:overflowPunct/>
        <w:topLinePunct w:val="0"/>
        <w:bidi w:val="0"/>
        <w:adjustRightInd w:val="0"/>
        <w:snapToGrid w:val="0"/>
        <w:spacing w:line="560" w:lineRule="exact"/>
        <w:ind w:firstLine="720"/>
        <w:textAlignment w:val="auto"/>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lang w:val="zh-CN"/>
        </w:rPr>
      </w:pPr>
      <w:r>
        <w:rPr>
          <w:rFonts w:hint="eastAsia" w:ascii="仿宋_GB2312" w:hAnsi="Calibri" w:eastAsia="仿宋_GB2312" w:cs="仿宋"/>
          <w:color w:val="000000"/>
          <w:sz w:val="32"/>
          <w:szCs w:val="32"/>
          <w:lang w:eastAsia="zh-CN"/>
        </w:rPr>
        <w:t>缺乏对司法救助制度的宣传，当事人对司法救助制度了解甚少。</w:t>
      </w:r>
    </w:p>
    <w:p>
      <w:pPr>
        <w:pageBreakBefore w:val="0"/>
        <w:kinsoku/>
        <w:wordWrap/>
        <w:overflowPunct/>
        <w:topLinePunct w:val="0"/>
        <w:bidi w:val="0"/>
        <w:adjustRightInd w:val="0"/>
        <w:snapToGrid w:val="0"/>
        <w:spacing w:line="560" w:lineRule="exact"/>
        <w:ind w:firstLine="720"/>
        <w:textAlignment w:val="auto"/>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仿宋"/>
          <w:color w:val="000000"/>
          <w:sz w:val="32"/>
          <w:szCs w:val="32"/>
        </w:rPr>
      </w:pPr>
      <w:r>
        <w:rPr>
          <w:rFonts w:hint="eastAsia" w:ascii="仿宋_GB2312" w:hAnsi="宋体" w:eastAsia="仿宋_GB2312" w:cs="仿宋_GB2312"/>
          <w:i w:val="0"/>
          <w:caps w:val="0"/>
          <w:color w:val="000000"/>
          <w:spacing w:val="0"/>
          <w:sz w:val="32"/>
          <w:szCs w:val="32"/>
          <w:shd w:val="clear" w:fill="FFFFFF"/>
          <w:lang w:eastAsia="zh-CN"/>
        </w:rPr>
        <w:t>加强</w:t>
      </w:r>
      <w:r>
        <w:rPr>
          <w:rFonts w:hint="eastAsia" w:ascii="仿宋_GB2312" w:hAnsi="宋体" w:eastAsia="仿宋_GB2312" w:cs="仿宋_GB2312"/>
          <w:i w:val="0"/>
          <w:caps w:val="0"/>
          <w:color w:val="000000"/>
          <w:spacing w:val="0"/>
          <w:sz w:val="32"/>
          <w:szCs w:val="32"/>
          <w:shd w:val="clear" w:fill="FFFFFF"/>
        </w:rPr>
        <w:t>司法救助</w:t>
      </w:r>
      <w:r>
        <w:rPr>
          <w:rFonts w:hint="eastAsia" w:ascii="仿宋_GB2312" w:hAnsi="宋体" w:eastAsia="仿宋_GB2312" w:cs="仿宋_GB2312"/>
          <w:i w:val="0"/>
          <w:caps w:val="0"/>
          <w:color w:val="000000"/>
          <w:spacing w:val="0"/>
          <w:sz w:val="32"/>
          <w:szCs w:val="32"/>
          <w:shd w:val="clear" w:fill="FFFFFF"/>
          <w:lang w:eastAsia="zh-CN"/>
        </w:rPr>
        <w:t>制度</w:t>
      </w:r>
      <w:r>
        <w:rPr>
          <w:rFonts w:hint="eastAsia" w:ascii="仿宋_GB2312" w:hAnsi="宋体" w:eastAsia="仿宋_GB2312" w:cs="仿宋_GB2312"/>
          <w:i w:val="0"/>
          <w:caps w:val="0"/>
          <w:color w:val="000000"/>
          <w:spacing w:val="0"/>
          <w:sz w:val="32"/>
          <w:szCs w:val="32"/>
          <w:shd w:val="clear" w:fill="FFFFFF"/>
        </w:rPr>
        <w:t>宣传</w:t>
      </w:r>
      <w:r>
        <w:rPr>
          <w:rFonts w:hint="eastAsia" w:ascii="仿宋_GB2312" w:hAnsi="宋体" w:eastAsia="仿宋_GB2312" w:cs="仿宋_GB2312"/>
          <w:i w:val="0"/>
          <w:caps w:val="0"/>
          <w:color w:val="000000"/>
          <w:spacing w:val="0"/>
          <w:sz w:val="32"/>
          <w:szCs w:val="32"/>
          <w:shd w:val="clear" w:fill="FFFFFF"/>
          <w:lang w:eastAsia="zh-CN"/>
        </w:rPr>
        <w:t>工作的力度。</w:t>
      </w:r>
    </w:p>
    <w:p>
      <w:pPr>
        <w:widowControl/>
        <w:jc w:val="left"/>
        <w:rPr>
          <w:rStyle w:val="24"/>
          <w:rFonts w:ascii="黑体" w:hAnsi="黑体" w:eastAsia="黑体"/>
          <w:b w:val="0"/>
        </w:rPr>
      </w:pPr>
      <w:r>
        <w:rPr>
          <w:rStyle w:val="24"/>
          <w:rFonts w:ascii="黑体" w:hAnsi="黑体" w:eastAsia="黑体"/>
          <w:b w:val="0"/>
        </w:rPr>
        <w:br w:type="page"/>
      </w:r>
    </w:p>
    <w:p>
      <w:pPr>
        <w:pageBreakBefore w:val="0"/>
        <w:kinsoku/>
        <w:wordWrap/>
        <w:overflowPunct/>
        <w:topLinePunct w:val="0"/>
        <w:bidi w:val="0"/>
        <w:spacing w:line="560" w:lineRule="exact"/>
        <w:ind w:firstLine="640" w:firstLineChars="200"/>
        <w:textAlignment w:val="auto"/>
        <w:rPr>
          <w:rFonts w:ascii="仿宋_GB2312" w:hAnsi="仿宋_GB2312" w:eastAsia="仿宋_GB2312" w:cs="仿宋_GB2312"/>
          <w:sz w:val="32"/>
          <w:szCs w:val="32"/>
        </w:rPr>
      </w:pPr>
    </w:p>
    <w:p>
      <w:pPr>
        <w:pageBreakBefore w:val="0"/>
        <w:kinsoku/>
        <w:wordWrap/>
        <w:overflowPunct/>
        <w:topLinePunct w:val="0"/>
        <w:bidi w:val="0"/>
        <w:spacing w:line="560" w:lineRule="exact"/>
        <w:ind w:firstLine="640" w:firstLineChars="200"/>
        <w:textAlignment w:val="auto"/>
        <w:rPr>
          <w:rFonts w:ascii="仿宋_GB2312" w:hAnsi="仿宋_GB2312" w:eastAsia="仿宋_GB2312" w:cs="仿宋_GB2312"/>
          <w:sz w:val="32"/>
          <w:szCs w:val="32"/>
        </w:rPr>
      </w:pPr>
    </w:p>
    <w:p>
      <w:pPr>
        <w:pageBreakBefore w:val="0"/>
        <w:kinsoku/>
        <w:wordWrap/>
        <w:overflowPunct/>
        <w:topLinePunct w:val="0"/>
        <w:bidi w:val="0"/>
        <w:spacing w:line="560" w:lineRule="exact"/>
        <w:ind w:firstLine="640" w:firstLineChars="200"/>
        <w:textAlignment w:val="auto"/>
        <w:rPr>
          <w:rFonts w:ascii="仿宋_GB2312" w:hAnsi="仿宋_GB2312" w:eastAsia="仿宋_GB2312" w:cs="仿宋_GB2312"/>
          <w:sz w:val="32"/>
          <w:szCs w:val="32"/>
        </w:rPr>
      </w:pPr>
    </w:p>
    <w:p>
      <w:pPr>
        <w:pageBreakBefore w:val="0"/>
        <w:kinsoku/>
        <w:wordWrap/>
        <w:overflowPunct/>
        <w:topLinePunct w:val="0"/>
        <w:bidi w:val="0"/>
        <w:spacing w:line="560" w:lineRule="exact"/>
        <w:ind w:firstLine="640" w:firstLineChars="200"/>
        <w:textAlignment w:val="auto"/>
        <w:rPr>
          <w:rFonts w:ascii="仿宋_GB2312" w:hAnsi="仿宋_GB2312" w:eastAsia="仿宋_GB2312" w:cs="仿宋_GB2312"/>
          <w:sz w:val="32"/>
          <w:szCs w:val="32"/>
        </w:rPr>
      </w:pPr>
    </w:p>
    <w:p>
      <w:pPr>
        <w:pageBreakBefore w:val="0"/>
        <w:kinsoku/>
        <w:wordWrap/>
        <w:overflowPunct/>
        <w:topLinePunct w:val="0"/>
        <w:bidi w:val="0"/>
        <w:spacing w:line="560" w:lineRule="exact"/>
        <w:ind w:firstLine="640" w:firstLineChars="200"/>
        <w:textAlignment w:val="auto"/>
        <w:rPr>
          <w:rFonts w:ascii="仿宋_GB2312" w:hAnsi="仿宋_GB2312" w:eastAsia="仿宋_GB2312" w:cs="仿宋_GB2312"/>
          <w:sz w:val="32"/>
          <w:szCs w:val="32"/>
        </w:rPr>
      </w:pPr>
    </w:p>
    <w:p>
      <w:pPr>
        <w:pageBreakBefore w:val="0"/>
        <w:kinsoku/>
        <w:wordWrap/>
        <w:overflowPunct/>
        <w:topLinePunct w:val="0"/>
        <w:bidi w:val="0"/>
        <w:spacing w:line="560" w:lineRule="exact"/>
        <w:ind w:firstLine="640" w:firstLineChars="200"/>
        <w:textAlignment w:val="auto"/>
        <w:rPr>
          <w:rFonts w:ascii="仿宋_GB2312" w:hAnsi="仿宋_GB2312" w:eastAsia="仿宋_GB2312" w:cs="仿宋_GB2312"/>
          <w:sz w:val="32"/>
          <w:szCs w:val="32"/>
        </w:rPr>
      </w:pPr>
    </w:p>
    <w:p>
      <w:pPr>
        <w:pageBreakBefore w:val="0"/>
        <w:kinsoku/>
        <w:wordWrap/>
        <w:overflowPunct/>
        <w:topLinePunct w:val="0"/>
        <w:bidi w:val="0"/>
        <w:spacing w:line="560" w:lineRule="exact"/>
        <w:ind w:firstLine="640" w:firstLineChars="200"/>
        <w:textAlignment w:val="auto"/>
        <w:rPr>
          <w:rFonts w:ascii="仿宋_GB2312" w:hAnsi="仿宋_GB2312" w:eastAsia="仿宋_GB2312" w:cs="仿宋_GB2312"/>
          <w:sz w:val="32"/>
          <w:szCs w:val="32"/>
        </w:rPr>
      </w:pPr>
    </w:p>
    <w:p>
      <w:pPr>
        <w:pageBreakBefore w:val="0"/>
        <w:kinsoku/>
        <w:wordWrap/>
        <w:overflowPunct/>
        <w:topLinePunct w:val="0"/>
        <w:bidi w:val="0"/>
        <w:spacing w:line="560" w:lineRule="exact"/>
        <w:ind w:firstLine="640" w:firstLineChars="200"/>
        <w:textAlignment w:val="auto"/>
        <w:rPr>
          <w:rFonts w:ascii="仿宋_GB2312" w:hAnsi="仿宋_GB2312" w:eastAsia="仿宋_GB2312" w:cs="仿宋_GB2312"/>
          <w:sz w:val="32"/>
          <w:szCs w:val="32"/>
        </w:rPr>
      </w:pPr>
    </w:p>
    <w:p>
      <w:pPr>
        <w:pageBreakBefore w:val="0"/>
        <w:kinsoku/>
        <w:wordWrap/>
        <w:overflowPunct/>
        <w:topLinePunct w:val="0"/>
        <w:bidi w:val="0"/>
        <w:spacing w:line="560" w:lineRule="exact"/>
        <w:ind w:firstLine="640" w:firstLineChars="200"/>
        <w:textAlignment w:val="auto"/>
        <w:rPr>
          <w:rFonts w:ascii="仿宋_GB2312" w:hAnsi="仿宋_GB2312" w:eastAsia="仿宋_GB2312" w:cs="仿宋_GB2312"/>
          <w:sz w:val="32"/>
          <w:szCs w:val="32"/>
        </w:rPr>
      </w:pPr>
    </w:p>
    <w:p>
      <w:pPr>
        <w:pageBreakBefore w:val="0"/>
        <w:kinsoku/>
        <w:wordWrap/>
        <w:overflowPunct/>
        <w:topLinePunct w:val="0"/>
        <w:bidi w:val="0"/>
        <w:spacing w:line="560" w:lineRule="exact"/>
        <w:ind w:firstLine="640" w:firstLineChars="200"/>
        <w:textAlignment w:val="auto"/>
        <w:rPr>
          <w:rFonts w:ascii="仿宋_GB2312" w:hAnsi="仿宋_GB2312" w:eastAsia="仿宋_GB2312" w:cs="仿宋_GB2312"/>
          <w:sz w:val="32"/>
          <w:szCs w:val="32"/>
        </w:rPr>
      </w:pPr>
    </w:p>
    <w:p>
      <w:pPr>
        <w:pageBreakBefore w:val="0"/>
        <w:kinsoku/>
        <w:wordWrap/>
        <w:overflowPunct/>
        <w:topLinePunct w:val="0"/>
        <w:bidi w:val="0"/>
        <w:spacing w:line="560" w:lineRule="exact"/>
        <w:ind w:firstLine="640" w:firstLineChars="200"/>
        <w:textAlignment w:val="auto"/>
        <w:rPr>
          <w:rFonts w:ascii="仿宋_GB2312" w:hAnsi="仿宋_GB2312" w:eastAsia="仿宋_GB2312" w:cs="仿宋_GB2312"/>
          <w:sz w:val="32"/>
          <w:szCs w:val="32"/>
        </w:rPr>
      </w:pPr>
    </w:p>
    <w:p>
      <w:pPr>
        <w:pageBreakBefore w:val="0"/>
        <w:kinsoku/>
        <w:wordWrap/>
        <w:overflowPunct/>
        <w:topLinePunct w:val="0"/>
        <w:bidi w:val="0"/>
        <w:spacing w:line="560" w:lineRule="exact"/>
        <w:ind w:firstLine="640" w:firstLineChars="200"/>
        <w:textAlignment w:val="auto"/>
        <w:rPr>
          <w:rFonts w:ascii="仿宋_GB2312" w:hAnsi="仿宋_GB2312" w:eastAsia="仿宋_GB2312" w:cs="仿宋_GB2312"/>
          <w:sz w:val="32"/>
          <w:szCs w:val="32"/>
        </w:rPr>
      </w:pPr>
    </w:p>
    <w:p>
      <w:pPr>
        <w:pageBreakBefore w:val="0"/>
        <w:kinsoku/>
        <w:wordWrap/>
        <w:overflowPunct/>
        <w:topLinePunct w:val="0"/>
        <w:bidi w:val="0"/>
        <w:spacing w:line="560" w:lineRule="exact"/>
        <w:ind w:firstLine="640" w:firstLineChars="200"/>
        <w:textAlignment w:val="auto"/>
        <w:rPr>
          <w:rFonts w:ascii="仿宋_GB2312" w:hAnsi="仿宋_GB2312" w:eastAsia="仿宋_GB2312" w:cs="仿宋_GB2312"/>
          <w:sz w:val="32"/>
          <w:szCs w:val="32"/>
        </w:rPr>
      </w:pPr>
    </w:p>
    <w:p>
      <w:pPr>
        <w:pageBreakBefore w:val="0"/>
        <w:kinsoku/>
        <w:wordWrap/>
        <w:overflowPunct/>
        <w:topLinePunct w:val="0"/>
        <w:bidi w:val="0"/>
        <w:spacing w:line="560" w:lineRule="exact"/>
        <w:ind w:firstLine="640" w:firstLineChars="200"/>
        <w:textAlignment w:val="auto"/>
        <w:rPr>
          <w:rFonts w:ascii="仿宋_GB2312" w:hAnsi="仿宋_GB2312" w:eastAsia="仿宋_GB2312" w:cs="仿宋_GB2312"/>
          <w:sz w:val="32"/>
          <w:szCs w:val="32"/>
        </w:rPr>
      </w:pPr>
    </w:p>
    <w:p>
      <w:pPr>
        <w:pageBreakBefore w:val="0"/>
        <w:kinsoku/>
        <w:wordWrap/>
        <w:overflowPunct/>
        <w:topLinePunct w:val="0"/>
        <w:bidi w:val="0"/>
        <w:spacing w:line="560" w:lineRule="exact"/>
        <w:ind w:firstLine="640" w:firstLineChars="200"/>
        <w:textAlignment w:val="auto"/>
        <w:rPr>
          <w:rFonts w:ascii="仿宋_GB2312" w:hAnsi="仿宋_GB2312" w:eastAsia="仿宋_GB2312" w:cs="仿宋_GB2312"/>
          <w:sz w:val="32"/>
          <w:szCs w:val="32"/>
        </w:rPr>
      </w:pPr>
    </w:p>
    <w:p>
      <w:pPr>
        <w:pageBreakBefore w:val="0"/>
        <w:kinsoku/>
        <w:wordWrap/>
        <w:overflowPunct/>
        <w:topLinePunct w:val="0"/>
        <w:bidi w:val="0"/>
        <w:spacing w:line="560" w:lineRule="exact"/>
        <w:ind w:firstLine="640" w:firstLineChars="200"/>
        <w:textAlignment w:val="auto"/>
        <w:rPr>
          <w:rFonts w:ascii="仿宋_GB2312" w:hAnsi="仿宋_GB2312" w:eastAsia="仿宋_GB2312" w:cs="仿宋_GB2312"/>
          <w:sz w:val="32"/>
          <w:szCs w:val="32"/>
        </w:rPr>
      </w:pPr>
    </w:p>
    <w:p>
      <w:pPr>
        <w:pageBreakBefore w:val="0"/>
        <w:kinsoku/>
        <w:wordWrap/>
        <w:overflowPunct/>
        <w:topLinePunct w:val="0"/>
        <w:bidi w:val="0"/>
        <w:spacing w:line="560" w:lineRule="exact"/>
        <w:ind w:firstLine="640" w:firstLineChars="200"/>
        <w:textAlignment w:val="auto"/>
        <w:rPr>
          <w:rFonts w:ascii="仿宋_GB2312" w:hAnsi="仿宋_GB2312" w:eastAsia="仿宋_GB2312" w:cs="仿宋_GB2312"/>
          <w:sz w:val="32"/>
          <w:szCs w:val="32"/>
        </w:rPr>
      </w:pPr>
    </w:p>
    <w:p>
      <w:pPr>
        <w:pageBreakBefore w:val="0"/>
        <w:kinsoku/>
        <w:wordWrap/>
        <w:overflowPunct/>
        <w:topLinePunct w:val="0"/>
        <w:bidi w:val="0"/>
        <w:spacing w:line="560" w:lineRule="exact"/>
        <w:ind w:firstLine="640" w:firstLineChars="200"/>
        <w:textAlignment w:val="auto"/>
        <w:rPr>
          <w:rFonts w:ascii="仿宋_GB2312" w:hAnsi="仿宋_GB2312" w:eastAsia="仿宋_GB2312" w:cs="仿宋_GB2312"/>
          <w:sz w:val="32"/>
          <w:szCs w:val="32"/>
        </w:rPr>
      </w:pPr>
    </w:p>
    <w:p>
      <w:pPr>
        <w:pageBreakBefore w:val="0"/>
        <w:kinsoku/>
        <w:wordWrap/>
        <w:overflowPunct/>
        <w:topLinePunct w:val="0"/>
        <w:bidi w:val="0"/>
        <w:spacing w:line="560" w:lineRule="exact"/>
        <w:ind w:firstLine="640" w:firstLineChars="200"/>
        <w:textAlignment w:val="auto"/>
        <w:rPr>
          <w:rFonts w:ascii="仿宋_GB2312" w:hAnsi="仿宋_GB2312" w:eastAsia="仿宋_GB2312" w:cs="仿宋_GB2312"/>
          <w:sz w:val="32"/>
          <w:szCs w:val="32"/>
        </w:rPr>
      </w:pPr>
    </w:p>
    <w:p>
      <w:pPr>
        <w:pageBreakBefore w:val="0"/>
        <w:kinsoku/>
        <w:wordWrap/>
        <w:overflowPunct/>
        <w:topLinePunct w:val="0"/>
        <w:bidi w:val="0"/>
        <w:spacing w:line="560" w:lineRule="exact"/>
        <w:ind w:firstLine="640" w:firstLineChars="200"/>
        <w:textAlignment w:val="auto"/>
        <w:rPr>
          <w:rFonts w:ascii="仿宋_GB2312" w:hAnsi="仿宋_GB2312" w:eastAsia="仿宋_GB2312" w:cs="仿宋_GB2312"/>
          <w:sz w:val="32"/>
          <w:szCs w:val="32"/>
        </w:rPr>
      </w:pPr>
    </w:p>
    <w:p>
      <w:pPr>
        <w:pageBreakBefore w:val="0"/>
        <w:kinsoku/>
        <w:wordWrap/>
        <w:overflowPunct/>
        <w:topLinePunct w:val="0"/>
        <w:bidi w:val="0"/>
        <w:spacing w:line="560" w:lineRule="exact"/>
        <w:textAlignment w:val="auto"/>
        <w:rPr>
          <w:rFonts w:ascii="仿宋_GB2312" w:hAnsi="仿宋_GB2312" w:eastAsia="仿宋_GB2312" w:cs="仿宋_GB2312"/>
          <w:sz w:val="32"/>
          <w:szCs w:val="32"/>
        </w:rPr>
      </w:pPr>
      <w:r>
        <w:rPr>
          <w:rFonts w:hint="eastAsia" w:ascii="黑体" w:hAnsi="黑体" w:eastAsia="黑体" w:cs="黑体"/>
          <w:sz w:val="32"/>
          <w:szCs w:val="32"/>
        </w:rPr>
        <w:t>附件2</w:t>
      </w:r>
    </w:p>
    <w:p>
      <w:pPr>
        <w:spacing w:line="600" w:lineRule="exact"/>
        <w:jc w:val="center"/>
        <w:outlineLvl w:val="0"/>
        <w:rPr>
          <w:rStyle w:val="24"/>
          <w:rFonts w:ascii="黑体" w:hAnsi="黑体" w:eastAsia="黑体"/>
          <w:b w:val="0"/>
        </w:rPr>
      </w:pPr>
      <w:bookmarkStart w:id="119" w:name="_Toc79163635"/>
      <w:bookmarkStart w:id="120" w:name="_Toc15396618"/>
      <w:bookmarkStart w:id="121" w:name="_Toc14136"/>
      <w:r>
        <w:rPr>
          <w:rFonts w:hint="eastAsia" w:ascii="黑体" w:hAnsi="黑体" w:eastAsia="黑体"/>
          <w:color w:val="000000"/>
          <w:sz w:val="44"/>
          <w:szCs w:val="44"/>
        </w:rPr>
        <w:t>第</w:t>
      </w:r>
      <w:r>
        <w:rPr>
          <w:rStyle w:val="24"/>
          <w:rFonts w:hint="eastAsia" w:ascii="黑体" w:hAnsi="黑体" w:eastAsia="黑体"/>
          <w:b w:val="0"/>
        </w:rPr>
        <w:t>五部分</w:t>
      </w:r>
      <w:r>
        <w:rPr>
          <w:rStyle w:val="24"/>
          <w:rFonts w:ascii="黑体" w:hAnsi="黑体" w:eastAsia="黑体"/>
          <w:b w:val="0"/>
        </w:rPr>
        <w:t xml:space="preserve"> </w:t>
      </w:r>
      <w:r>
        <w:rPr>
          <w:rStyle w:val="24"/>
          <w:rFonts w:hint="eastAsia" w:ascii="黑体" w:hAnsi="黑体" w:eastAsia="黑体"/>
          <w:b w:val="0"/>
        </w:rPr>
        <w:t>附表</w:t>
      </w:r>
      <w:bookmarkEnd w:id="116"/>
      <w:bookmarkEnd w:id="119"/>
      <w:bookmarkEnd w:id="120"/>
      <w:bookmarkEnd w:id="121"/>
    </w:p>
    <w:p>
      <w:pPr>
        <w:pStyle w:val="4"/>
        <w:rPr>
          <w:rFonts w:ascii="仿宋" w:hAnsi="仿宋" w:eastAsia="仿宋"/>
          <w:color w:val="000000"/>
        </w:rPr>
      </w:pPr>
      <w:bookmarkStart w:id="122" w:name="_Toc79163636"/>
      <w:bookmarkStart w:id="123" w:name="_Toc21471"/>
      <w:bookmarkStart w:id="124"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122"/>
      <w:bookmarkEnd w:id="123"/>
      <w:bookmarkEnd w:id="124"/>
    </w:p>
    <w:p>
      <w:pPr>
        <w:pStyle w:val="4"/>
        <w:rPr>
          <w:rFonts w:ascii="仿宋" w:hAnsi="仿宋" w:eastAsia="仿宋"/>
          <w:color w:val="000000"/>
        </w:rPr>
      </w:pPr>
      <w:bookmarkStart w:id="125" w:name="_Toc22101"/>
      <w:bookmarkStart w:id="126" w:name="_Toc79163637"/>
      <w:bookmarkStart w:id="127"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125"/>
      <w:bookmarkEnd w:id="126"/>
      <w:bookmarkEnd w:id="127"/>
    </w:p>
    <w:p>
      <w:pPr>
        <w:pStyle w:val="4"/>
        <w:rPr>
          <w:rFonts w:ascii="仿宋" w:hAnsi="仿宋" w:eastAsia="仿宋"/>
          <w:color w:val="000000"/>
        </w:rPr>
      </w:pPr>
      <w:bookmarkStart w:id="128" w:name="_Toc15396621"/>
      <w:bookmarkStart w:id="129" w:name="_Toc12764"/>
      <w:bookmarkStart w:id="130" w:name="_Toc79163638"/>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128"/>
      <w:bookmarkEnd w:id="129"/>
      <w:bookmarkEnd w:id="130"/>
    </w:p>
    <w:p>
      <w:pPr>
        <w:pStyle w:val="4"/>
        <w:rPr>
          <w:rFonts w:ascii="仿宋" w:hAnsi="仿宋" w:eastAsia="仿宋"/>
          <w:b w:val="0"/>
          <w:color w:val="000000"/>
        </w:rPr>
      </w:pPr>
      <w:bookmarkStart w:id="131" w:name="_Toc79163639"/>
      <w:bookmarkStart w:id="132" w:name="_Toc29185"/>
      <w:bookmarkStart w:id="133"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131"/>
      <w:bookmarkEnd w:id="132"/>
      <w:bookmarkEnd w:id="133"/>
    </w:p>
    <w:p>
      <w:pPr>
        <w:pStyle w:val="4"/>
        <w:rPr>
          <w:rStyle w:val="25"/>
          <w:rFonts w:ascii="仿宋" w:hAnsi="仿宋" w:eastAsia="仿宋"/>
          <w:b w:val="0"/>
          <w:bCs w:val="0"/>
        </w:rPr>
      </w:pPr>
      <w:bookmarkStart w:id="134" w:name="_Toc1818"/>
      <w:bookmarkStart w:id="135" w:name="_Toc79163640"/>
      <w:bookmarkStart w:id="136"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134"/>
      <w:bookmarkEnd w:id="135"/>
      <w:bookmarkEnd w:id="136"/>
      <w:bookmarkStart w:id="137" w:name="_Toc15396624"/>
    </w:p>
    <w:p>
      <w:pPr>
        <w:pStyle w:val="4"/>
        <w:rPr>
          <w:rFonts w:ascii="仿宋" w:hAnsi="仿宋" w:eastAsia="仿宋"/>
          <w:color w:val="000000"/>
        </w:rPr>
      </w:pPr>
      <w:bookmarkStart w:id="138" w:name="_Toc7717"/>
      <w:bookmarkStart w:id="139" w:name="_Toc79163641"/>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137"/>
      <w:bookmarkEnd w:id="138"/>
      <w:bookmarkEnd w:id="139"/>
    </w:p>
    <w:p>
      <w:pPr>
        <w:pStyle w:val="4"/>
        <w:rPr>
          <w:rFonts w:ascii="仿宋" w:hAnsi="仿宋" w:eastAsia="仿宋"/>
          <w:color w:val="000000"/>
        </w:rPr>
      </w:pPr>
      <w:bookmarkStart w:id="140" w:name="_Toc4404"/>
      <w:bookmarkStart w:id="141" w:name="_Toc15396625"/>
      <w:bookmarkStart w:id="142" w:name="_Toc79163642"/>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140"/>
      <w:bookmarkEnd w:id="141"/>
      <w:bookmarkEnd w:id="142"/>
    </w:p>
    <w:p>
      <w:pPr>
        <w:pStyle w:val="4"/>
        <w:rPr>
          <w:rFonts w:ascii="仿宋" w:hAnsi="仿宋" w:eastAsia="仿宋"/>
          <w:color w:val="000000"/>
        </w:rPr>
      </w:pPr>
      <w:bookmarkStart w:id="143" w:name="_Toc7652"/>
      <w:bookmarkStart w:id="144" w:name="_Toc15396626"/>
      <w:bookmarkStart w:id="145" w:name="_Toc79163643"/>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143"/>
      <w:bookmarkEnd w:id="144"/>
      <w:bookmarkEnd w:id="145"/>
    </w:p>
    <w:p>
      <w:pPr>
        <w:pStyle w:val="4"/>
        <w:rPr>
          <w:rFonts w:ascii="仿宋" w:hAnsi="仿宋" w:eastAsia="仿宋"/>
          <w:color w:val="000000"/>
        </w:rPr>
      </w:pPr>
      <w:bookmarkStart w:id="146" w:name="_Toc79163644"/>
      <w:bookmarkStart w:id="147" w:name="_Toc15396627"/>
      <w:bookmarkStart w:id="148" w:name="_Toc23276"/>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146"/>
      <w:bookmarkEnd w:id="147"/>
      <w:bookmarkEnd w:id="148"/>
    </w:p>
    <w:p>
      <w:pPr>
        <w:pStyle w:val="4"/>
        <w:rPr>
          <w:rFonts w:ascii="仿宋" w:hAnsi="仿宋" w:eastAsia="仿宋"/>
          <w:color w:val="000000"/>
        </w:rPr>
      </w:pPr>
      <w:bookmarkStart w:id="149" w:name="_Toc31870"/>
      <w:bookmarkStart w:id="150" w:name="_Toc15396628"/>
      <w:bookmarkStart w:id="151" w:name="_Toc79163645"/>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149"/>
      <w:bookmarkEnd w:id="150"/>
      <w:bookmarkEnd w:id="151"/>
    </w:p>
    <w:p>
      <w:pPr>
        <w:pStyle w:val="4"/>
        <w:rPr>
          <w:rFonts w:ascii="仿宋" w:hAnsi="仿宋" w:eastAsia="仿宋"/>
          <w:color w:val="000000"/>
        </w:rPr>
      </w:pPr>
      <w:bookmarkStart w:id="152" w:name="_Toc15396629"/>
      <w:bookmarkStart w:id="153" w:name="_Toc79163646"/>
      <w:bookmarkStart w:id="154" w:name="_Toc184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152"/>
      <w:bookmarkEnd w:id="153"/>
      <w:bookmarkEnd w:id="154"/>
    </w:p>
    <w:p>
      <w:pPr>
        <w:pStyle w:val="4"/>
        <w:rPr>
          <w:rFonts w:ascii="仿宋" w:hAnsi="仿宋" w:eastAsia="仿宋"/>
          <w:color w:val="000000"/>
        </w:rPr>
      </w:pPr>
      <w:bookmarkStart w:id="155" w:name="_Toc15396630"/>
      <w:bookmarkStart w:id="156" w:name="_Toc79163647"/>
      <w:bookmarkStart w:id="157" w:name="_Toc26189"/>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155"/>
      <w:bookmarkEnd w:id="156"/>
      <w:bookmarkEnd w:id="157"/>
    </w:p>
    <w:p>
      <w:pPr>
        <w:pStyle w:val="4"/>
        <w:rPr>
          <w:rStyle w:val="25"/>
          <w:rFonts w:ascii="仿宋" w:hAnsi="仿宋" w:eastAsia="仿宋"/>
          <w:b w:val="0"/>
          <w:bCs w:val="0"/>
        </w:rPr>
      </w:pPr>
      <w:bookmarkStart w:id="158" w:name="_Toc79163648"/>
      <w:bookmarkStart w:id="159" w:name="_Toc5280"/>
      <w:bookmarkStart w:id="160"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有资本经营预算财政拨款支出决算表</w:t>
      </w:r>
      <w:bookmarkEnd w:id="158"/>
      <w:bookmarkEnd w:id="159"/>
      <w:bookmarkEnd w:id="160"/>
    </w:p>
    <w:p>
      <w:pPr>
        <w:pStyle w:val="4"/>
        <w:rPr>
          <w:rStyle w:val="25"/>
          <w:rFonts w:ascii="仿宋" w:hAnsi="仿宋" w:eastAsia="仿宋"/>
          <w:b w:val="0"/>
          <w:bCs w:val="0"/>
        </w:rPr>
      </w:pPr>
      <w:bookmarkStart w:id="161" w:name="_Toc2769"/>
      <w:bookmarkStart w:id="162" w:name="_Toc79163649"/>
      <w:r>
        <w:rPr>
          <w:rStyle w:val="25"/>
          <w:rFonts w:hint="eastAsia" w:ascii="仿宋" w:hAnsi="仿宋" w:eastAsia="仿宋"/>
          <w:b w:val="0"/>
          <w:bCs w:val="0"/>
        </w:rPr>
        <w:t>十四、国有资本经营预算财政拨款支出决算表</w:t>
      </w:r>
      <w:bookmarkEnd w:id="161"/>
      <w:bookmarkEnd w:id="162"/>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Light">
    <w:altName w:val="宋体"/>
    <w:panose1 w:val="02010600030101010101"/>
    <w:charset w:val="86"/>
    <w:family w:val="auto"/>
    <w:pitch w:val="default"/>
    <w:sig w:usb0="00000000" w:usb1="00000000" w:usb2="00000016" w:usb3="00000000" w:csb0="0004000F" w:csb1="00000000"/>
  </w:font>
  <w:font w:name="方正小标宋简体">
    <w:altName w:val="Arial Unicode MS"/>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t>25</w: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031038"/>
    <w:multiLevelType w:val="singleLevel"/>
    <w:tmpl w:val="93031038"/>
    <w:lvl w:ilvl="0" w:tentative="0">
      <w:start w:val="1"/>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2">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0MmI0YzdmZGEzYTExMGYwYjUxYTE1MzliODFlYTk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15301"/>
    <w:rsid w:val="001319E1"/>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26640"/>
    <w:rsid w:val="00235629"/>
    <w:rsid w:val="00256262"/>
    <w:rsid w:val="00260C38"/>
    <w:rsid w:val="002616C0"/>
    <w:rsid w:val="00264FA2"/>
    <w:rsid w:val="00265372"/>
    <w:rsid w:val="002662AA"/>
    <w:rsid w:val="0027224D"/>
    <w:rsid w:val="00280496"/>
    <w:rsid w:val="00294DC9"/>
    <w:rsid w:val="00295495"/>
    <w:rsid w:val="002A31DE"/>
    <w:rsid w:val="002B2613"/>
    <w:rsid w:val="002D6D05"/>
    <w:rsid w:val="002F1818"/>
    <w:rsid w:val="002F567B"/>
    <w:rsid w:val="003216A9"/>
    <w:rsid w:val="00335A74"/>
    <w:rsid w:val="0036561B"/>
    <w:rsid w:val="0037013F"/>
    <w:rsid w:val="00380C92"/>
    <w:rsid w:val="00394E7F"/>
    <w:rsid w:val="003A484F"/>
    <w:rsid w:val="003A4883"/>
    <w:rsid w:val="003B0BE0"/>
    <w:rsid w:val="003B0C1B"/>
    <w:rsid w:val="003B688C"/>
    <w:rsid w:val="003C0291"/>
    <w:rsid w:val="003C39AE"/>
    <w:rsid w:val="003C7B60"/>
    <w:rsid w:val="003D0C0F"/>
    <w:rsid w:val="003D1FB2"/>
    <w:rsid w:val="003D53FE"/>
    <w:rsid w:val="003D66DA"/>
    <w:rsid w:val="003E1310"/>
    <w:rsid w:val="003E6F55"/>
    <w:rsid w:val="003E6FE4"/>
    <w:rsid w:val="00406254"/>
    <w:rsid w:val="004223DE"/>
    <w:rsid w:val="00434489"/>
    <w:rsid w:val="00437085"/>
    <w:rsid w:val="00443880"/>
    <w:rsid w:val="00445607"/>
    <w:rsid w:val="004464F4"/>
    <w:rsid w:val="00471401"/>
    <w:rsid w:val="00473F31"/>
    <w:rsid w:val="00476DF9"/>
    <w:rsid w:val="0048263A"/>
    <w:rsid w:val="00487E5D"/>
    <w:rsid w:val="004A711F"/>
    <w:rsid w:val="004B199D"/>
    <w:rsid w:val="004B4690"/>
    <w:rsid w:val="004D5479"/>
    <w:rsid w:val="004E0A2D"/>
    <w:rsid w:val="004E206B"/>
    <w:rsid w:val="004E6DF7"/>
    <w:rsid w:val="004F0FBD"/>
    <w:rsid w:val="00505A47"/>
    <w:rsid w:val="00512FDA"/>
    <w:rsid w:val="00520DA0"/>
    <w:rsid w:val="005269A7"/>
    <w:rsid w:val="005269D7"/>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45F81"/>
    <w:rsid w:val="0065271A"/>
    <w:rsid w:val="0066343B"/>
    <w:rsid w:val="00664777"/>
    <w:rsid w:val="006748A4"/>
    <w:rsid w:val="00681A31"/>
    <w:rsid w:val="00683E73"/>
    <w:rsid w:val="006A3141"/>
    <w:rsid w:val="006A5E34"/>
    <w:rsid w:val="006B2422"/>
    <w:rsid w:val="006B2B9A"/>
    <w:rsid w:val="006C1937"/>
    <w:rsid w:val="006E2684"/>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D4A41"/>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632E0"/>
    <w:rsid w:val="00871F71"/>
    <w:rsid w:val="00872FD8"/>
    <w:rsid w:val="00885AF4"/>
    <w:rsid w:val="00892977"/>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34D8"/>
    <w:rsid w:val="00935C98"/>
    <w:rsid w:val="00946945"/>
    <w:rsid w:val="00951248"/>
    <w:rsid w:val="0095152F"/>
    <w:rsid w:val="00954C49"/>
    <w:rsid w:val="00955E37"/>
    <w:rsid w:val="00962656"/>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11E4"/>
    <w:rsid w:val="00B03C9D"/>
    <w:rsid w:val="00B060AE"/>
    <w:rsid w:val="00B10517"/>
    <w:rsid w:val="00B14E76"/>
    <w:rsid w:val="00B161B8"/>
    <w:rsid w:val="00B2048C"/>
    <w:rsid w:val="00B20FF3"/>
    <w:rsid w:val="00B310B9"/>
    <w:rsid w:val="00B35F3F"/>
    <w:rsid w:val="00B36CBB"/>
    <w:rsid w:val="00B425E0"/>
    <w:rsid w:val="00B440AA"/>
    <w:rsid w:val="00B44B70"/>
    <w:rsid w:val="00B53C56"/>
    <w:rsid w:val="00B54DB4"/>
    <w:rsid w:val="00B57DAF"/>
    <w:rsid w:val="00B77EA6"/>
    <w:rsid w:val="00B81598"/>
    <w:rsid w:val="00B841F1"/>
    <w:rsid w:val="00B90E4E"/>
    <w:rsid w:val="00B944D6"/>
    <w:rsid w:val="00B965DC"/>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4B0"/>
    <w:rsid w:val="00DC7CBA"/>
    <w:rsid w:val="00DD73B7"/>
    <w:rsid w:val="00DF1C39"/>
    <w:rsid w:val="00DF28BC"/>
    <w:rsid w:val="00DF34B9"/>
    <w:rsid w:val="00E01053"/>
    <w:rsid w:val="00E07ACF"/>
    <w:rsid w:val="00E32CAD"/>
    <w:rsid w:val="00E331A1"/>
    <w:rsid w:val="00E33202"/>
    <w:rsid w:val="00E336A9"/>
    <w:rsid w:val="00E472B1"/>
    <w:rsid w:val="00E50624"/>
    <w:rsid w:val="00E568DF"/>
    <w:rsid w:val="00E64269"/>
    <w:rsid w:val="00E70975"/>
    <w:rsid w:val="00E82267"/>
    <w:rsid w:val="00E853CE"/>
    <w:rsid w:val="00E867B6"/>
    <w:rsid w:val="00EA010F"/>
    <w:rsid w:val="00ED1B63"/>
    <w:rsid w:val="00ED3C1F"/>
    <w:rsid w:val="00ED4085"/>
    <w:rsid w:val="00ED420E"/>
    <w:rsid w:val="00ED6FBE"/>
    <w:rsid w:val="00EE2F57"/>
    <w:rsid w:val="00EF4C34"/>
    <w:rsid w:val="00EF60EF"/>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952C9"/>
    <w:rsid w:val="00FA23E8"/>
    <w:rsid w:val="00FD3CC1"/>
    <w:rsid w:val="00FF1E02"/>
    <w:rsid w:val="00FF30B4"/>
    <w:rsid w:val="030F57D2"/>
    <w:rsid w:val="0A1B3F65"/>
    <w:rsid w:val="0A2032A3"/>
    <w:rsid w:val="0E990EFC"/>
    <w:rsid w:val="0FB75ADD"/>
    <w:rsid w:val="10C055FF"/>
    <w:rsid w:val="118107EC"/>
    <w:rsid w:val="11DA3D05"/>
    <w:rsid w:val="12AF4946"/>
    <w:rsid w:val="12C852D6"/>
    <w:rsid w:val="14BF71E2"/>
    <w:rsid w:val="16A42B33"/>
    <w:rsid w:val="16BB723D"/>
    <w:rsid w:val="1D155CEE"/>
    <w:rsid w:val="240371BF"/>
    <w:rsid w:val="25757CD2"/>
    <w:rsid w:val="29FD04D3"/>
    <w:rsid w:val="2A47721F"/>
    <w:rsid w:val="2E0122DE"/>
    <w:rsid w:val="2E3D6528"/>
    <w:rsid w:val="2E994780"/>
    <w:rsid w:val="319F7F4E"/>
    <w:rsid w:val="31E05216"/>
    <w:rsid w:val="326B7F22"/>
    <w:rsid w:val="34F9587C"/>
    <w:rsid w:val="37446741"/>
    <w:rsid w:val="3805581C"/>
    <w:rsid w:val="3C03403F"/>
    <w:rsid w:val="44FE772F"/>
    <w:rsid w:val="45336E8D"/>
    <w:rsid w:val="489947A5"/>
    <w:rsid w:val="4D782049"/>
    <w:rsid w:val="4ECE2238"/>
    <w:rsid w:val="512601D1"/>
    <w:rsid w:val="55C776C9"/>
    <w:rsid w:val="59CF5461"/>
    <w:rsid w:val="6B146AB5"/>
    <w:rsid w:val="6C4A05C8"/>
    <w:rsid w:val="6C635F46"/>
    <w:rsid w:val="6E64423F"/>
    <w:rsid w:val="6EF2710D"/>
    <w:rsid w:val="72734D90"/>
    <w:rsid w:val="79A436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1"/>
    <w:next w:val="1"/>
    <w:link w:val="26"/>
    <w:qFormat/>
    <w:uiPriority w:val="9"/>
    <w:pPr>
      <w:keepNext/>
      <w:keepLines/>
      <w:spacing w:before="260" w:after="260" w:line="416" w:lineRule="auto"/>
      <w:outlineLvl w:val="2"/>
    </w:pPr>
    <w:rPr>
      <w:b/>
      <w:bCs/>
      <w:sz w:val="32"/>
      <w:szCs w:val="32"/>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33"/>
    <w:qFormat/>
    <w:uiPriority w:val="99"/>
    <w:pPr>
      <w:spacing w:beforeLines="30"/>
    </w:pPr>
    <w:rPr>
      <w:rFonts w:ascii="仿宋_GB2312" w:eastAsia="仿宋_GB2312"/>
      <w:kern w:val="0"/>
      <w:sz w:val="24"/>
      <w:szCs w:val="20"/>
      <w:lang w:val="zh-CN"/>
    </w:rPr>
  </w:style>
  <w:style w:type="paragraph" w:styleId="6">
    <w:name w:val="toc 7"/>
    <w:basedOn w:val="1"/>
    <w:next w:val="1"/>
    <w:unhideWhenUsed/>
    <w:qFormat/>
    <w:uiPriority w:val="39"/>
    <w:pPr>
      <w:ind w:left="1260"/>
      <w:jc w:val="left"/>
    </w:pPr>
    <w:rPr>
      <w:rFonts w:asciiTheme="minorHAnsi" w:eastAsiaTheme="minorHAnsi"/>
      <w:sz w:val="18"/>
      <w:szCs w:val="18"/>
    </w:rPr>
  </w:style>
  <w:style w:type="paragraph" w:styleId="7">
    <w:name w:val="toc 5"/>
    <w:basedOn w:val="1"/>
    <w:next w:val="1"/>
    <w:unhideWhenUsed/>
    <w:qFormat/>
    <w:uiPriority w:val="39"/>
    <w:pPr>
      <w:ind w:left="840"/>
      <w:jc w:val="left"/>
    </w:pPr>
    <w:rPr>
      <w:rFonts w:asciiTheme="minorHAnsi" w:eastAsiaTheme="minorHAnsi"/>
      <w:sz w:val="18"/>
      <w:szCs w:val="18"/>
    </w:rPr>
  </w:style>
  <w:style w:type="paragraph" w:styleId="8">
    <w:name w:val="toc 3"/>
    <w:basedOn w:val="1"/>
    <w:next w:val="1"/>
    <w:unhideWhenUsed/>
    <w:qFormat/>
    <w:uiPriority w:val="39"/>
    <w:pPr>
      <w:ind w:left="420"/>
      <w:jc w:val="left"/>
    </w:pPr>
    <w:rPr>
      <w:rFonts w:asciiTheme="minorHAnsi" w:eastAsiaTheme="minorHAnsi"/>
      <w:i/>
      <w:iCs/>
      <w:sz w:val="20"/>
      <w:szCs w:val="20"/>
    </w:rPr>
  </w:style>
  <w:style w:type="paragraph" w:styleId="9">
    <w:name w:val="toc 8"/>
    <w:basedOn w:val="1"/>
    <w:next w:val="1"/>
    <w:unhideWhenUsed/>
    <w:qFormat/>
    <w:uiPriority w:val="39"/>
    <w:pPr>
      <w:ind w:left="1470"/>
      <w:jc w:val="left"/>
    </w:pPr>
    <w:rPr>
      <w:rFonts w:asciiTheme="minorHAnsi" w:eastAsiaTheme="minorHAnsi"/>
      <w:sz w:val="18"/>
      <w:szCs w:val="18"/>
    </w:rPr>
  </w:style>
  <w:style w:type="paragraph" w:styleId="10">
    <w:name w:val="Balloon Text"/>
    <w:basedOn w:val="1"/>
    <w:link w:val="28"/>
    <w:semiHidden/>
    <w:unhideWhenUsed/>
    <w:qFormat/>
    <w:uiPriority w:val="99"/>
    <w:rPr>
      <w:sz w:val="18"/>
      <w:szCs w:val="18"/>
    </w:rPr>
  </w:style>
  <w:style w:type="paragraph" w:styleId="11">
    <w:name w:val="footer"/>
    <w:basedOn w:val="1"/>
    <w:link w:val="32"/>
    <w:qFormat/>
    <w:uiPriority w:val="99"/>
    <w:pPr>
      <w:tabs>
        <w:tab w:val="center" w:pos="4153"/>
        <w:tab w:val="right" w:pos="8306"/>
      </w:tabs>
      <w:snapToGrid w:val="0"/>
      <w:jc w:val="left"/>
    </w:pPr>
    <w:rPr>
      <w:rFonts w:ascii="Calibri" w:hAnsi="Calibri"/>
      <w:kern w:val="0"/>
      <w:sz w:val="18"/>
      <w:szCs w:val="20"/>
      <w:lang w:val="zh-CN"/>
    </w:rPr>
  </w:style>
  <w:style w:type="paragraph" w:styleId="12">
    <w:name w:val="header"/>
    <w:basedOn w:val="1"/>
    <w:link w:val="31"/>
    <w:semiHidden/>
    <w:qFormat/>
    <w:uiPriority w:val="99"/>
    <w:pPr>
      <w:pBdr>
        <w:bottom w:val="single" w:color="auto" w:sz="6" w:space="1"/>
      </w:pBdr>
      <w:tabs>
        <w:tab w:val="center" w:pos="4153"/>
        <w:tab w:val="right" w:pos="8306"/>
      </w:tabs>
      <w:snapToGrid w:val="0"/>
      <w:jc w:val="center"/>
    </w:pPr>
    <w:rPr>
      <w:rFonts w:ascii="Calibri" w:hAnsi="Calibri"/>
      <w:kern w:val="0"/>
      <w:sz w:val="18"/>
      <w:szCs w:val="20"/>
      <w:lang w:val="zh-CN"/>
    </w:rPr>
  </w:style>
  <w:style w:type="paragraph" w:styleId="13">
    <w:name w:val="toc 1"/>
    <w:basedOn w:val="1"/>
    <w:next w:val="1"/>
    <w:unhideWhenUsed/>
    <w:qFormat/>
    <w:uiPriority w:val="39"/>
    <w:pPr>
      <w:spacing w:before="120" w:after="120"/>
      <w:jc w:val="left"/>
    </w:pPr>
    <w:rPr>
      <w:rFonts w:asciiTheme="minorHAnsi" w:eastAsiaTheme="minorHAnsi"/>
      <w:b/>
      <w:bCs/>
      <w:caps/>
      <w:sz w:val="20"/>
      <w:szCs w:val="20"/>
    </w:rPr>
  </w:style>
  <w:style w:type="paragraph" w:styleId="14">
    <w:name w:val="toc 4"/>
    <w:basedOn w:val="1"/>
    <w:next w:val="1"/>
    <w:unhideWhenUsed/>
    <w:qFormat/>
    <w:uiPriority w:val="39"/>
    <w:pPr>
      <w:ind w:left="630"/>
      <w:jc w:val="left"/>
    </w:pPr>
    <w:rPr>
      <w:rFonts w:asciiTheme="minorHAnsi" w:eastAsiaTheme="minorHAnsi"/>
      <w:sz w:val="18"/>
      <w:szCs w:val="18"/>
    </w:rPr>
  </w:style>
  <w:style w:type="paragraph" w:styleId="15">
    <w:name w:val="toc 6"/>
    <w:basedOn w:val="1"/>
    <w:next w:val="1"/>
    <w:unhideWhenUsed/>
    <w:qFormat/>
    <w:uiPriority w:val="39"/>
    <w:pPr>
      <w:ind w:left="1050"/>
      <w:jc w:val="left"/>
    </w:pPr>
    <w:rPr>
      <w:rFonts w:asciiTheme="minorHAnsi" w:eastAsiaTheme="minorHAnsi"/>
      <w:sz w:val="18"/>
      <w:szCs w:val="18"/>
    </w:rPr>
  </w:style>
  <w:style w:type="paragraph" w:styleId="16">
    <w:name w:val="toc 2"/>
    <w:basedOn w:val="1"/>
    <w:next w:val="1"/>
    <w:unhideWhenUsed/>
    <w:qFormat/>
    <w:uiPriority w:val="39"/>
    <w:pPr>
      <w:ind w:left="210"/>
      <w:jc w:val="left"/>
    </w:pPr>
    <w:rPr>
      <w:rFonts w:asciiTheme="minorHAnsi" w:eastAsiaTheme="minorHAnsi"/>
      <w:smallCaps/>
      <w:sz w:val="20"/>
      <w:szCs w:val="20"/>
    </w:rPr>
  </w:style>
  <w:style w:type="paragraph" w:styleId="17">
    <w:name w:val="toc 9"/>
    <w:basedOn w:val="1"/>
    <w:next w:val="1"/>
    <w:unhideWhenUsed/>
    <w:qFormat/>
    <w:uiPriority w:val="39"/>
    <w:pPr>
      <w:ind w:left="1680"/>
      <w:jc w:val="left"/>
    </w:pPr>
    <w:rPr>
      <w:rFonts w:asciiTheme="minorHAnsi" w:eastAsiaTheme="minorHAnsi"/>
      <w:sz w:val="18"/>
      <w:szCs w:val="18"/>
    </w:rPr>
  </w:style>
  <w:style w:type="paragraph" w:styleId="18">
    <w:name w:val="Normal (Web)"/>
    <w:basedOn w:val="1"/>
    <w:next w:val="1"/>
    <w:semiHidden/>
    <w:unhideWhenUsed/>
    <w:qFormat/>
    <w:uiPriority w:val="99"/>
    <w:pPr>
      <w:spacing w:before="0" w:beforeAutospacing="1" w:after="0" w:afterAutospacing="1"/>
      <w:ind w:left="0" w:right="0"/>
      <w:jc w:val="left"/>
    </w:pPr>
    <w:rPr>
      <w:kern w:val="0"/>
      <w:sz w:val="24"/>
      <w:lang w:val="en-US" w:eastAsia="zh-CN" w:bidi="ar"/>
    </w:rPr>
  </w:style>
  <w:style w:type="character" w:styleId="21">
    <w:name w:val="Strong"/>
    <w:basedOn w:val="20"/>
    <w:qFormat/>
    <w:uiPriority w:val="99"/>
    <w:rPr>
      <w:rFonts w:cs="Times New Roman"/>
      <w:b/>
    </w:rPr>
  </w:style>
  <w:style w:type="character" w:styleId="22">
    <w:name w:val="Hyperlink"/>
    <w:basedOn w:val="20"/>
    <w:unhideWhenUsed/>
    <w:qFormat/>
    <w:uiPriority w:val="99"/>
    <w:rPr>
      <w:rFonts w:cs="Times New Roman"/>
      <w:color w:val="0000FF"/>
      <w:u w:val="single"/>
    </w:rPr>
  </w:style>
  <w:style w:type="paragraph" w:customStyle="1" w:styleId="23">
    <w:name w:val="列出段落1"/>
    <w:basedOn w:val="1"/>
    <w:qFormat/>
    <w:uiPriority w:val="34"/>
    <w:pPr>
      <w:ind w:firstLine="420" w:firstLineChars="200"/>
    </w:pPr>
    <w:rPr>
      <w:rFonts w:ascii="Calibri" w:hAnsi="Calibri" w:eastAsia="宋体" w:cs="Times New Roman"/>
    </w:rPr>
  </w:style>
  <w:style w:type="character" w:customStyle="1" w:styleId="24">
    <w:name w:val="标题 1 Char"/>
    <w:basedOn w:val="20"/>
    <w:link w:val="3"/>
    <w:qFormat/>
    <w:locked/>
    <w:uiPriority w:val="9"/>
    <w:rPr>
      <w:rFonts w:ascii="Times New Roman" w:hAnsi="Times New Roman" w:cs="Times New Roman"/>
      <w:b/>
      <w:bCs/>
      <w:kern w:val="44"/>
      <w:sz w:val="44"/>
      <w:szCs w:val="44"/>
    </w:rPr>
  </w:style>
  <w:style w:type="character" w:customStyle="1" w:styleId="25">
    <w:name w:val="标题 2 Char"/>
    <w:basedOn w:val="20"/>
    <w:link w:val="4"/>
    <w:qFormat/>
    <w:locked/>
    <w:uiPriority w:val="9"/>
    <w:rPr>
      <w:rFonts w:ascii="Cambria" w:hAnsi="Cambria" w:eastAsia="宋体" w:cs="Times New Roman"/>
      <w:b/>
      <w:bCs/>
      <w:kern w:val="2"/>
      <w:sz w:val="32"/>
      <w:szCs w:val="32"/>
    </w:rPr>
  </w:style>
  <w:style w:type="character" w:customStyle="1" w:styleId="26">
    <w:name w:val="标题 3 Char"/>
    <w:basedOn w:val="20"/>
    <w:link w:val="5"/>
    <w:qFormat/>
    <w:locked/>
    <w:uiPriority w:val="9"/>
    <w:rPr>
      <w:rFonts w:ascii="Times New Roman" w:hAnsi="Times New Roman" w:cs="Times New Roman"/>
      <w:b/>
      <w:bCs/>
      <w:kern w:val="2"/>
      <w:sz w:val="32"/>
      <w:szCs w:val="32"/>
    </w:rPr>
  </w:style>
  <w:style w:type="character" w:customStyle="1" w:styleId="27">
    <w:name w:val="Body Text Char"/>
    <w:basedOn w:val="20"/>
    <w:semiHidden/>
    <w:qFormat/>
    <w:uiPriority w:val="99"/>
    <w:rPr>
      <w:rFonts w:ascii="Times New Roman" w:hAnsi="Times New Roman" w:cs="Times New Roman"/>
      <w:sz w:val="24"/>
      <w:szCs w:val="24"/>
    </w:rPr>
  </w:style>
  <w:style w:type="character" w:customStyle="1" w:styleId="28">
    <w:name w:val="批注框文本 Char"/>
    <w:basedOn w:val="20"/>
    <w:link w:val="10"/>
    <w:semiHidden/>
    <w:qFormat/>
    <w:locked/>
    <w:uiPriority w:val="99"/>
    <w:rPr>
      <w:rFonts w:ascii="Times New Roman" w:hAnsi="Times New Roman" w:cs="Times New Roman"/>
      <w:kern w:val="2"/>
      <w:sz w:val="18"/>
      <w:szCs w:val="18"/>
    </w:rPr>
  </w:style>
  <w:style w:type="character" w:customStyle="1" w:styleId="29">
    <w:name w:val="Footer Char"/>
    <w:basedOn w:val="20"/>
    <w:semiHidden/>
    <w:qFormat/>
    <w:uiPriority w:val="99"/>
    <w:rPr>
      <w:rFonts w:ascii="Times New Roman" w:hAnsi="Times New Roman" w:cs="Times New Roman"/>
      <w:sz w:val="18"/>
      <w:szCs w:val="18"/>
    </w:rPr>
  </w:style>
  <w:style w:type="character" w:customStyle="1" w:styleId="30">
    <w:name w:val="Header Char"/>
    <w:basedOn w:val="20"/>
    <w:semiHidden/>
    <w:qFormat/>
    <w:uiPriority w:val="99"/>
    <w:rPr>
      <w:rFonts w:ascii="Times New Roman" w:hAnsi="Times New Roman" w:cs="Times New Roman"/>
      <w:sz w:val="18"/>
      <w:szCs w:val="18"/>
    </w:rPr>
  </w:style>
  <w:style w:type="character" w:customStyle="1" w:styleId="31">
    <w:name w:val="页眉 Char"/>
    <w:link w:val="12"/>
    <w:semiHidden/>
    <w:qFormat/>
    <w:locked/>
    <w:uiPriority w:val="99"/>
    <w:rPr>
      <w:sz w:val="18"/>
    </w:rPr>
  </w:style>
  <w:style w:type="character" w:customStyle="1" w:styleId="32">
    <w:name w:val="页脚 Char"/>
    <w:link w:val="11"/>
    <w:qFormat/>
    <w:locked/>
    <w:uiPriority w:val="99"/>
    <w:rPr>
      <w:sz w:val="18"/>
    </w:rPr>
  </w:style>
  <w:style w:type="character" w:customStyle="1" w:styleId="33">
    <w:name w:val="正文文本 Char"/>
    <w:link w:val="2"/>
    <w:qFormat/>
    <w:locked/>
    <w:uiPriority w:val="99"/>
    <w:rPr>
      <w:rFonts w:ascii="仿宋_GB2312" w:hAnsi="Times New Roman" w:eastAsia="仿宋_GB2312"/>
      <w:sz w:val="24"/>
    </w:rPr>
  </w:style>
  <w:style w:type="paragraph" w:customStyle="1" w:styleId="3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35">
    <w:name w:val="列表段落1"/>
    <w:basedOn w:val="1"/>
    <w:qFormat/>
    <w:uiPriority w:val="34"/>
    <w:pPr>
      <w:ind w:firstLine="420" w:firstLineChars="200"/>
    </w:pPr>
  </w:style>
  <w:style w:type="paragraph" w:customStyle="1" w:styleId="36">
    <w:name w:val="TOC 标题1"/>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7">
    <w:name w:val="TOC Heading1"/>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8">
    <w:name w:val="TOC 标题2"/>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styleId="3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zh-CN"/>
              <a:t>收、支决算变动</a:t>
            </a:r>
            <a:endParaRPr altLang="zh-CN"/>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支出</c:v>
                </c:pt>
              </c:strCache>
            </c:strRef>
          </c:tx>
          <c:spPr>
            <a:solidFill>
              <a:schemeClr val="accent1"/>
            </a:solidFill>
            <a:ln>
              <a:noFill/>
            </a:ln>
            <a:effectLst/>
          </c:spPr>
          <c:invertIfNegative val="0"/>
          <c:dLbls>
            <c:delete val="1"/>
          </c:dLbls>
          <c:cat>
            <c:strRef>
              <c:f>Sheet1!$A$2:$A$3</c:f>
              <c:strCache>
                <c:ptCount val="2"/>
                <c:pt idx="0">
                  <c:v>2020年</c:v>
                </c:pt>
                <c:pt idx="1">
                  <c:v>2021年</c:v>
                </c:pt>
              </c:strCache>
            </c:strRef>
          </c:cat>
          <c:val>
            <c:numRef>
              <c:f>Sheet1!$B$2:$B$3</c:f>
              <c:numCache>
                <c:formatCode>General</c:formatCode>
                <c:ptCount val="2"/>
                <c:pt idx="0">
                  <c:v>931.38</c:v>
                </c:pt>
                <c:pt idx="1">
                  <c:v>854.83</c:v>
                </c:pt>
              </c:numCache>
            </c:numRef>
          </c:val>
        </c:ser>
        <c:ser>
          <c:idx val="1"/>
          <c:order val="1"/>
          <c:tx>
            <c:strRef>
              <c:f>Sheet1!$C$1</c:f>
              <c:strCache>
                <c:ptCount val="1"/>
                <c:pt idx="0">
                  <c:v>收入</c:v>
                </c:pt>
              </c:strCache>
            </c:strRef>
          </c:tx>
          <c:spPr>
            <a:solidFill>
              <a:schemeClr val="accent2"/>
            </a:solidFill>
            <a:ln>
              <a:noFill/>
            </a:ln>
            <a:effectLst/>
          </c:spPr>
          <c:invertIfNegative val="0"/>
          <c:dLbls>
            <c:delete val="1"/>
          </c:dLbls>
          <c:cat>
            <c:strRef>
              <c:f>Sheet1!$A$2:$A$3</c:f>
              <c:strCache>
                <c:ptCount val="2"/>
                <c:pt idx="0">
                  <c:v>2020年</c:v>
                </c:pt>
                <c:pt idx="1">
                  <c:v>2021年</c:v>
                </c:pt>
              </c:strCache>
            </c:strRef>
          </c:cat>
          <c:val>
            <c:numRef>
              <c:f>Sheet1!$C$2:$C$3</c:f>
              <c:numCache>
                <c:formatCode>General</c:formatCode>
                <c:ptCount val="2"/>
                <c:pt idx="0">
                  <c:v>867.37</c:v>
                </c:pt>
                <c:pt idx="1">
                  <c:v>854.83</c:v>
                </c:pt>
              </c:numCache>
            </c:numRef>
          </c:val>
        </c:ser>
        <c:dLbls>
          <c:showLegendKey val="0"/>
          <c:showVal val="0"/>
          <c:showCatName val="0"/>
          <c:showSerName val="0"/>
          <c:showPercent val="0"/>
          <c:showBubbleSize val="0"/>
        </c:dLbls>
        <c:gapWidth val="219"/>
        <c:overlap val="-27"/>
        <c:axId val="636985194"/>
        <c:axId val="456654258"/>
      </c:barChart>
      <c:catAx>
        <c:axId val="63698519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6654258"/>
        <c:crosses val="autoZero"/>
        <c:auto val="1"/>
        <c:lblAlgn val="ctr"/>
        <c:lblOffset val="100"/>
        <c:noMultiLvlLbl val="0"/>
      </c:catAx>
      <c:valAx>
        <c:axId val="45665425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698519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收入决算结构图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一般公共预算财政拨款收入</c:v>
                </c:pt>
                <c:pt idx="1">
                  <c:v>政府性基金预算财政拨款收入</c:v>
                </c:pt>
                <c:pt idx="2">
                  <c:v>上级补助收入</c:v>
                </c:pt>
                <c:pt idx="3">
                  <c:v>附属单位上缴收入</c:v>
                </c:pt>
              </c:strCache>
            </c:strRef>
          </c:cat>
          <c:val>
            <c:numRef>
              <c:f>Sheet1!$B$2:$B$5</c:f>
              <c:numCache>
                <c:formatCode>General</c:formatCode>
                <c:ptCount val="4"/>
                <c:pt idx="0">
                  <c:v>8.2</c:v>
                </c:pt>
                <c:pt idx="1">
                  <c:v>0</c:v>
                </c:pt>
                <c:pt idx="2">
                  <c:v>0</c:v>
                </c:pt>
                <c:pt idx="3">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基本支出</c:v>
                </c:pt>
                <c:pt idx="1">
                  <c:v>项目支出</c:v>
                </c:pt>
              </c:strCache>
            </c:strRef>
          </c:cat>
          <c:val>
            <c:numRef>
              <c:f>Sheet1!$B$2:$B$3</c:f>
              <c:numCache>
                <c:formatCode>General</c:formatCode>
                <c:ptCount val="2"/>
                <c:pt idx="0">
                  <c:v>624.63</c:v>
                </c:pt>
                <c:pt idx="1">
                  <c:v>230.2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支出</c:v>
                </c:pt>
              </c:strCache>
            </c:strRef>
          </c:tx>
          <c:spPr>
            <a:solidFill>
              <a:schemeClr val="accent1"/>
            </a:solidFill>
            <a:ln>
              <a:noFill/>
            </a:ln>
            <a:effectLst/>
          </c:spPr>
          <c:invertIfNegative val="0"/>
          <c:dLbls>
            <c:delete val="1"/>
          </c:dLbls>
          <c:cat>
            <c:strRef>
              <c:f>Sheet1!$A$2:$A$3</c:f>
              <c:strCache>
                <c:ptCount val="2"/>
                <c:pt idx="0">
                  <c:v>2020年</c:v>
                </c:pt>
                <c:pt idx="1">
                  <c:v>2021年</c:v>
                </c:pt>
              </c:strCache>
            </c:strRef>
          </c:cat>
          <c:val>
            <c:numRef>
              <c:f>Sheet1!$B$2:$B$3</c:f>
              <c:numCache>
                <c:formatCode>General</c:formatCode>
                <c:ptCount val="2"/>
                <c:pt idx="0">
                  <c:v>931.38</c:v>
                </c:pt>
                <c:pt idx="1">
                  <c:v>854.83</c:v>
                </c:pt>
              </c:numCache>
            </c:numRef>
          </c:val>
        </c:ser>
        <c:ser>
          <c:idx val="1"/>
          <c:order val="1"/>
          <c:tx>
            <c:strRef>
              <c:f>Sheet1!$C$1</c:f>
              <c:strCache>
                <c:ptCount val="1"/>
                <c:pt idx="0">
                  <c:v>收入</c:v>
                </c:pt>
              </c:strCache>
            </c:strRef>
          </c:tx>
          <c:spPr>
            <a:solidFill>
              <a:schemeClr val="accent2"/>
            </a:solidFill>
            <a:ln>
              <a:noFill/>
            </a:ln>
            <a:effectLst/>
          </c:spPr>
          <c:invertIfNegative val="0"/>
          <c:dLbls>
            <c:delete val="1"/>
          </c:dLbls>
          <c:cat>
            <c:strRef>
              <c:f>Sheet1!$A$2:$A$3</c:f>
              <c:strCache>
                <c:ptCount val="2"/>
                <c:pt idx="0">
                  <c:v>2020年</c:v>
                </c:pt>
                <c:pt idx="1">
                  <c:v>2021年</c:v>
                </c:pt>
              </c:strCache>
            </c:strRef>
          </c:cat>
          <c:val>
            <c:numRef>
              <c:f>Sheet1!$C$2:$C$3</c:f>
              <c:numCache>
                <c:formatCode>General</c:formatCode>
                <c:ptCount val="2"/>
                <c:pt idx="0">
                  <c:v>867.37</c:v>
                </c:pt>
                <c:pt idx="1">
                  <c:v>854.83</c:v>
                </c:pt>
              </c:numCache>
            </c:numRef>
          </c:val>
        </c:ser>
        <c:dLbls>
          <c:showLegendKey val="0"/>
          <c:showVal val="0"/>
          <c:showCatName val="0"/>
          <c:showSerName val="0"/>
          <c:showPercent val="0"/>
          <c:showBubbleSize val="0"/>
        </c:dLbls>
        <c:gapWidth val="219"/>
        <c:overlap val="-27"/>
        <c:axId val="636985194"/>
        <c:axId val="456654258"/>
      </c:barChart>
      <c:catAx>
        <c:axId val="63698519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6654258"/>
        <c:crosses val="autoZero"/>
        <c:auto val="1"/>
        <c:lblAlgn val="ctr"/>
        <c:lblOffset val="100"/>
        <c:noMultiLvlLbl val="0"/>
      </c:catAx>
      <c:valAx>
        <c:axId val="45665425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698519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财政拨款支出</c:v>
                </c:pt>
              </c:strCache>
            </c:strRef>
          </c:tx>
          <c:spPr>
            <a:solidFill>
              <a:schemeClr val="accent1"/>
            </a:solidFill>
            <a:ln>
              <a:noFill/>
            </a:ln>
            <a:effectLst/>
          </c:spPr>
          <c:invertIfNegative val="0"/>
          <c:dLbls>
            <c:delete val="1"/>
          </c:dLbls>
          <c:cat>
            <c:strRef>
              <c:f>Sheet1!$A$2:$A$3</c:f>
              <c:strCache>
                <c:ptCount val="2"/>
                <c:pt idx="0">
                  <c:v>2020年</c:v>
                </c:pt>
                <c:pt idx="1">
                  <c:v>2021年</c:v>
                </c:pt>
              </c:strCache>
            </c:strRef>
          </c:cat>
          <c:val>
            <c:numRef>
              <c:f>Sheet1!$B$2:$B$3</c:f>
              <c:numCache>
                <c:formatCode>General</c:formatCode>
                <c:ptCount val="2"/>
                <c:pt idx="0">
                  <c:v>867.37</c:v>
                </c:pt>
                <c:pt idx="1">
                  <c:v>854.83</c:v>
                </c:pt>
              </c:numCache>
            </c:numRef>
          </c:val>
        </c:ser>
        <c:dLbls>
          <c:showLegendKey val="0"/>
          <c:showVal val="0"/>
          <c:showCatName val="0"/>
          <c:showSerName val="0"/>
          <c:showPercent val="0"/>
          <c:showBubbleSize val="0"/>
        </c:dLbls>
        <c:gapWidth val="219"/>
        <c:overlap val="-27"/>
        <c:axId val="967929120"/>
        <c:axId val="895185991"/>
      </c:barChart>
      <c:catAx>
        <c:axId val="96792912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5185991"/>
        <c:crosses val="autoZero"/>
        <c:auto val="1"/>
        <c:lblAlgn val="ctr"/>
        <c:lblOffset val="100"/>
        <c:noMultiLvlLbl val="0"/>
      </c:catAx>
      <c:valAx>
        <c:axId val="8951859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79291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公共安全</c:v>
                </c:pt>
                <c:pt idx="1">
                  <c:v>社会保障和就业</c:v>
                </c:pt>
                <c:pt idx="2">
                  <c:v>卫生健康</c:v>
                </c:pt>
                <c:pt idx="3">
                  <c:v>住房保障</c:v>
                </c:pt>
              </c:strCache>
            </c:strRef>
          </c:cat>
          <c:val>
            <c:numRef>
              <c:f>Sheet1!$B$2:$B$5</c:f>
              <c:numCache>
                <c:formatCode>General</c:formatCode>
                <c:ptCount val="4"/>
                <c:pt idx="0">
                  <c:v>713.16</c:v>
                </c:pt>
                <c:pt idx="1">
                  <c:v>75.07</c:v>
                </c:pt>
                <c:pt idx="2">
                  <c:v>24.26</c:v>
                </c:pt>
                <c:pt idx="3">
                  <c:v>42.34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公务用车运行及购置支出</c:v>
                </c:pt>
                <c:pt idx="1">
                  <c:v>公务接待费</c:v>
                </c:pt>
              </c:strCache>
            </c:strRef>
          </c:cat>
          <c:val>
            <c:numRef>
              <c:f>Sheet1!$B$2:$B$3</c:f>
              <c:numCache>
                <c:formatCode>General</c:formatCode>
                <c:ptCount val="2"/>
                <c:pt idx="0">
                  <c:v>1.76</c:v>
                </c:pt>
                <c:pt idx="1">
                  <c:v>0.64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0A26A-4F96-4E33-A4F8-80E1B883F3E0}">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31</Pages>
  <Words>9065</Words>
  <Characters>9857</Characters>
  <Lines>74</Lines>
  <Paragraphs>21</Paragraphs>
  <TotalTime>10</TotalTime>
  <ScaleCrop>false</ScaleCrop>
  <LinksUpToDate>false</LinksUpToDate>
  <CharactersWithSpaces>9944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2021-08-06T09:38:00Z</dcterms:created>
  <dc:creator>曹颖</dc:creator>
  <cp:lastModifiedBy>Administrator</cp:lastModifiedBy>
  <cp:lastPrinted>2022-10-21T04:39:00Z</cp:lastPrinted>
  <dcterms:modified xsi:type="dcterms:W3CDTF">2022-12-06T02:52:33Z</dcterms:modified>
  <dc:title>阿坝州部门决算说明</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7556142D69564082B731D4F68B844E63</vt:lpwstr>
  </property>
</Properties>
</file>