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Times New Roman"/>
          <w:sz w:val="44"/>
          <w:szCs w:val="44"/>
        </w:rPr>
      </w:pPr>
    </w:p>
    <w:p>
      <w:pPr>
        <w:rPr>
          <w:rFonts w:ascii="黑体" w:hAnsi="黑体" w:eastAsia="黑体" w:cs="Times New Roman"/>
          <w:sz w:val="44"/>
          <w:szCs w:val="44"/>
        </w:rPr>
      </w:pPr>
    </w:p>
    <w:p>
      <w:pPr>
        <w:rPr>
          <w:rFonts w:ascii="黑体" w:hAnsi="黑体" w:eastAsia="黑体" w:cs="Times New Roman"/>
          <w:sz w:val="44"/>
          <w:szCs w:val="44"/>
        </w:rPr>
      </w:pPr>
    </w:p>
    <w:p>
      <w:pPr>
        <w:rPr>
          <w:rFonts w:ascii="黑体" w:hAnsi="黑体" w:eastAsia="黑体" w:cs="Times New Roman"/>
          <w:sz w:val="44"/>
          <w:szCs w:val="44"/>
        </w:rPr>
      </w:pPr>
    </w:p>
    <w:p>
      <w:pPr>
        <w:rPr>
          <w:rFonts w:ascii="黑体" w:hAnsi="黑体" w:eastAsia="黑体" w:cs="Times New Roman"/>
          <w:sz w:val="44"/>
          <w:szCs w:val="44"/>
        </w:rPr>
      </w:pPr>
    </w:p>
    <w:p>
      <w:pPr>
        <w:jc w:val="center"/>
        <w:rPr>
          <w:rFonts w:hint="eastAsia" w:ascii="黑体" w:hAnsi="黑体" w:eastAsia="黑体" w:cs="黑体"/>
          <w:sz w:val="72"/>
          <w:szCs w:val="72"/>
          <w:lang w:eastAsia="zh-CN"/>
        </w:rPr>
      </w:pPr>
      <w:r>
        <w:rPr>
          <w:rFonts w:hint="eastAsia" w:ascii="黑体" w:hAnsi="黑体" w:eastAsia="黑体" w:cs="黑体"/>
          <w:sz w:val="72"/>
          <w:szCs w:val="72"/>
          <w:lang w:eastAsia="zh-CN"/>
        </w:rPr>
        <w:t>壤塘县人民检察院</w:t>
      </w:r>
    </w:p>
    <w:p>
      <w:pPr>
        <w:jc w:val="center"/>
        <w:rPr>
          <w:rFonts w:ascii="黑体" w:hAnsi="黑体" w:eastAsia="黑体" w:cs="Times New Roman"/>
          <w:sz w:val="72"/>
          <w:szCs w:val="72"/>
        </w:rPr>
      </w:pPr>
      <w:r>
        <w:rPr>
          <w:rFonts w:ascii="黑体" w:hAnsi="黑体" w:eastAsia="黑体" w:cs="黑体"/>
          <w:sz w:val="72"/>
          <w:szCs w:val="72"/>
        </w:rPr>
        <w:t>202</w:t>
      </w:r>
      <w:r>
        <w:rPr>
          <w:rFonts w:hint="eastAsia" w:ascii="黑体" w:hAnsi="黑体" w:eastAsia="黑体" w:cs="黑体"/>
          <w:sz w:val="72"/>
          <w:szCs w:val="72"/>
          <w:lang w:val="en-US" w:eastAsia="zh-CN"/>
        </w:rPr>
        <w:t>2</w:t>
      </w:r>
      <w:r>
        <w:rPr>
          <w:rFonts w:ascii="黑体" w:hAnsi="黑体" w:eastAsia="黑体" w:cs="黑体"/>
          <w:sz w:val="72"/>
          <w:szCs w:val="72"/>
        </w:rPr>
        <w:t>年</w:t>
      </w:r>
      <w:r>
        <w:rPr>
          <w:rFonts w:hint="eastAsia" w:ascii="黑体" w:hAnsi="黑体" w:eastAsia="黑体" w:cs="黑体"/>
          <w:sz w:val="72"/>
          <w:szCs w:val="72"/>
        </w:rPr>
        <w:t>部门预算</w:t>
      </w:r>
    </w:p>
    <w:p>
      <w:pPr>
        <w:jc w:val="center"/>
        <w:rPr>
          <w:rFonts w:ascii="黑体" w:hAnsi="黑体" w:eastAsia="黑体" w:cs="Times New Roman"/>
          <w:sz w:val="44"/>
          <w:szCs w:val="44"/>
        </w:rPr>
      </w:pPr>
    </w:p>
    <w:p>
      <w:pPr>
        <w:jc w:val="center"/>
        <w:rPr>
          <w:rFonts w:ascii="黑体" w:hAnsi="黑体" w:eastAsia="黑体" w:cs="Times New Roman"/>
          <w:sz w:val="44"/>
          <w:szCs w:val="44"/>
        </w:rPr>
      </w:pPr>
    </w:p>
    <w:p>
      <w:pPr>
        <w:jc w:val="center"/>
        <w:rPr>
          <w:rFonts w:ascii="黑体" w:hAnsi="黑体" w:eastAsia="黑体" w:cs="Times New Roman"/>
          <w:sz w:val="44"/>
          <w:szCs w:val="44"/>
        </w:rPr>
      </w:pPr>
    </w:p>
    <w:p>
      <w:pPr>
        <w:jc w:val="center"/>
        <w:rPr>
          <w:rFonts w:ascii="黑体" w:hAnsi="黑体" w:eastAsia="黑体" w:cs="Times New Roman"/>
          <w:sz w:val="44"/>
          <w:szCs w:val="44"/>
        </w:rPr>
      </w:pPr>
      <w:bookmarkStart w:id="21" w:name="_GoBack"/>
      <w:bookmarkEnd w:id="21"/>
    </w:p>
    <w:p>
      <w:pPr>
        <w:jc w:val="center"/>
        <w:rPr>
          <w:rFonts w:ascii="黑体" w:hAnsi="黑体" w:eastAsia="黑体" w:cs="Times New Roman"/>
          <w:sz w:val="44"/>
          <w:szCs w:val="44"/>
        </w:rPr>
      </w:pPr>
    </w:p>
    <w:p>
      <w:pPr>
        <w:jc w:val="center"/>
        <w:rPr>
          <w:rFonts w:ascii="黑体" w:hAnsi="黑体" w:eastAsia="黑体" w:cs="Times New Roman"/>
          <w:sz w:val="44"/>
          <w:szCs w:val="44"/>
        </w:rPr>
      </w:pPr>
    </w:p>
    <w:p>
      <w:pPr>
        <w:jc w:val="center"/>
        <w:rPr>
          <w:rFonts w:ascii="黑体" w:hAnsi="黑体" w:eastAsia="黑体" w:cs="Times New Roman"/>
          <w:sz w:val="44"/>
          <w:szCs w:val="44"/>
        </w:rPr>
      </w:pPr>
    </w:p>
    <w:p>
      <w:pPr>
        <w:jc w:val="center"/>
        <w:rPr>
          <w:rFonts w:ascii="黑体" w:hAnsi="黑体" w:eastAsia="黑体" w:cs="Times New Roman"/>
          <w:sz w:val="44"/>
          <w:szCs w:val="44"/>
        </w:rPr>
      </w:pPr>
    </w:p>
    <w:p>
      <w:pPr>
        <w:jc w:val="center"/>
        <w:rPr>
          <w:rFonts w:ascii="黑体" w:hAnsi="黑体" w:eastAsia="黑体" w:cs="Times New Roman"/>
          <w:sz w:val="44"/>
          <w:szCs w:val="44"/>
        </w:rPr>
      </w:pPr>
    </w:p>
    <w:p>
      <w:pPr>
        <w:jc w:val="center"/>
        <w:rPr>
          <w:rFonts w:ascii="黑体" w:hAnsi="黑体" w:eastAsia="黑体" w:cs="Times New Roman"/>
          <w:sz w:val="44"/>
          <w:szCs w:val="44"/>
        </w:rPr>
      </w:pPr>
    </w:p>
    <w:p>
      <w:pPr>
        <w:jc w:val="center"/>
        <w:rPr>
          <w:rFonts w:ascii="黑体" w:hAnsi="黑体" w:eastAsia="黑体" w:cs="Times New Roman"/>
          <w:sz w:val="52"/>
          <w:szCs w:val="52"/>
        </w:rPr>
      </w:pPr>
      <w:r>
        <w:rPr>
          <w:rFonts w:hint="eastAsia" w:ascii="黑体" w:hAnsi="黑体" w:eastAsia="黑体" w:cs="黑体"/>
          <w:sz w:val="52"/>
          <w:szCs w:val="52"/>
          <w:lang w:val="en-US" w:eastAsia="zh-CN"/>
        </w:rPr>
        <w:t>2022</w:t>
      </w:r>
      <w:r>
        <w:rPr>
          <w:rFonts w:hint="eastAsia" w:ascii="黑体" w:hAnsi="黑体" w:eastAsia="黑体" w:cs="黑体"/>
          <w:sz w:val="52"/>
          <w:szCs w:val="52"/>
        </w:rPr>
        <w:t>年</w:t>
      </w:r>
      <w:r>
        <w:rPr>
          <w:rFonts w:hint="eastAsia" w:ascii="黑体" w:hAnsi="黑体" w:eastAsia="黑体" w:cs="黑体"/>
          <w:sz w:val="52"/>
          <w:szCs w:val="52"/>
          <w:lang w:val="en-US" w:eastAsia="zh-CN"/>
        </w:rPr>
        <w:t>1</w:t>
      </w:r>
      <w:r>
        <w:rPr>
          <w:rFonts w:hint="eastAsia" w:ascii="黑体" w:hAnsi="黑体" w:eastAsia="黑体" w:cs="黑体"/>
          <w:sz w:val="52"/>
          <w:szCs w:val="52"/>
        </w:rPr>
        <w:t>月</w:t>
      </w:r>
      <w:r>
        <w:rPr>
          <w:rFonts w:ascii="黑体" w:hAnsi="黑体" w:eastAsia="黑体" w:cs="黑体"/>
          <w:sz w:val="52"/>
          <w:szCs w:val="52"/>
        </w:rPr>
        <w:t xml:space="preserve"> </w:t>
      </w:r>
      <w:r>
        <w:rPr>
          <w:rFonts w:hint="eastAsia" w:ascii="黑体" w:hAnsi="黑体" w:eastAsia="黑体" w:cs="黑体"/>
          <w:sz w:val="52"/>
          <w:szCs w:val="52"/>
          <w:lang w:val="en-US" w:eastAsia="zh-CN"/>
        </w:rPr>
        <w:t>19</w:t>
      </w:r>
      <w:r>
        <w:rPr>
          <w:rFonts w:ascii="黑体" w:hAnsi="黑体" w:eastAsia="黑体" w:cs="黑体"/>
          <w:sz w:val="52"/>
          <w:szCs w:val="52"/>
        </w:rPr>
        <w:t xml:space="preserve"> </w:t>
      </w:r>
      <w:r>
        <w:rPr>
          <w:rFonts w:hint="eastAsia" w:ascii="黑体" w:hAnsi="黑体" w:eastAsia="黑体" w:cs="黑体"/>
          <w:sz w:val="52"/>
          <w:szCs w:val="52"/>
        </w:rPr>
        <w:t>日</w:t>
      </w:r>
    </w:p>
    <w:p>
      <w:pPr>
        <w:rPr>
          <w:rFonts w:ascii="黑体" w:hAnsi="黑体" w:eastAsia="黑体" w:cs="Times New Roman"/>
          <w:sz w:val="44"/>
          <w:szCs w:val="44"/>
        </w:rPr>
      </w:pPr>
    </w:p>
    <w:p>
      <w:pPr>
        <w:rPr>
          <w:rFonts w:ascii="黑体" w:hAnsi="黑体" w:eastAsia="黑体" w:cs="Times New Roman"/>
          <w:sz w:val="44"/>
          <w:szCs w:val="44"/>
        </w:rPr>
      </w:pPr>
    </w:p>
    <w:p>
      <w:pPr>
        <w:rPr>
          <w:rFonts w:ascii="黑体" w:hAnsi="黑体" w:eastAsia="黑体" w:cs="Times New Roman"/>
          <w:sz w:val="44"/>
          <w:szCs w:val="44"/>
        </w:rPr>
      </w:pPr>
    </w:p>
    <w:p>
      <w:pPr>
        <w:rPr>
          <w:rFonts w:ascii="黑体" w:hAnsi="黑体" w:eastAsia="黑体" w:cs="Times New Roman"/>
          <w:sz w:val="44"/>
          <w:szCs w:val="44"/>
        </w:rPr>
      </w:pPr>
    </w:p>
    <w:p>
      <w:pPr>
        <w:ind w:firstLine="3120" w:firstLineChars="600"/>
        <w:rPr>
          <w:rFonts w:ascii="黑体" w:hAnsi="黑体" w:eastAsia="黑体" w:cs="Times New Roman"/>
          <w:sz w:val="52"/>
          <w:szCs w:val="52"/>
        </w:rPr>
      </w:pPr>
      <w:r>
        <w:rPr>
          <w:rFonts w:hint="eastAsia" w:ascii="黑体" w:hAnsi="黑体" w:eastAsia="黑体" w:cs="黑体"/>
          <w:sz w:val="52"/>
          <w:szCs w:val="52"/>
        </w:rPr>
        <w:t>目</w:t>
      </w:r>
      <w:r>
        <w:rPr>
          <w:rFonts w:ascii="黑体" w:hAnsi="黑体" w:eastAsia="黑体" w:cs="黑体"/>
          <w:sz w:val="52"/>
          <w:szCs w:val="52"/>
        </w:rPr>
        <w:t xml:space="preserve"> </w:t>
      </w:r>
      <w:r>
        <w:rPr>
          <w:rFonts w:hint="eastAsia" w:ascii="黑体" w:hAnsi="黑体" w:eastAsia="黑体" w:cs="黑体"/>
          <w:sz w:val="52"/>
          <w:szCs w:val="52"/>
        </w:rPr>
        <w:t>录</w:t>
      </w:r>
    </w:p>
    <w:sdt>
      <w:sdtPr>
        <w:rPr>
          <w:rFonts w:ascii="宋体" w:hAnsi="宋体" w:eastAsia="宋体" w:cs="Calibri"/>
          <w:kern w:val="2"/>
          <w:sz w:val="21"/>
          <w:szCs w:val="21"/>
          <w:lang w:val="en-US" w:eastAsia="zh-CN" w:bidi="ar-SA"/>
        </w:rPr>
        <w:id w:val="147474657"/>
        <w15:color w:val="DBDBDB"/>
        <w:docPartObj>
          <w:docPartGallery w:val="Table of Contents"/>
          <w:docPartUnique/>
        </w:docPartObj>
      </w:sdtPr>
      <w:sdtEndPr>
        <w:rPr>
          <w:rFonts w:ascii="黑体" w:hAnsi="黑体" w:eastAsia="黑体" w:cs="Times New Roman"/>
          <w:kern w:val="2"/>
          <w:sz w:val="21"/>
          <w:szCs w:val="32"/>
          <w:lang w:val="en-US" w:eastAsia="zh-CN" w:bidi="ar-SA"/>
        </w:rPr>
      </w:sdtEndPr>
      <w:sdtContent>
        <w:p>
          <w:pPr>
            <w:spacing w:before="0" w:beforeLines="0" w:after="0" w:afterLines="0" w:line="240" w:lineRule="auto"/>
            <w:ind w:left="0" w:leftChars="0" w:right="0" w:rightChars="0" w:firstLine="0" w:firstLineChars="0"/>
            <w:jc w:val="center"/>
          </w:pPr>
        </w:p>
        <w:p>
          <w:pPr>
            <w:pStyle w:val="6"/>
            <w:tabs>
              <w:tab w:val="right" w:leader="dot" w:pos="8306"/>
            </w:tabs>
          </w:pPr>
          <w:r>
            <w:rPr>
              <w:rFonts w:ascii="黑体" w:hAnsi="黑体" w:eastAsia="黑体" w:cs="Times New Roman"/>
              <w:sz w:val="32"/>
              <w:szCs w:val="32"/>
            </w:rPr>
            <w:fldChar w:fldCharType="begin"/>
          </w:r>
          <w:r>
            <w:rPr>
              <w:rFonts w:ascii="黑体" w:hAnsi="黑体" w:eastAsia="黑体" w:cs="Times New Roman"/>
              <w:sz w:val="32"/>
              <w:szCs w:val="32"/>
            </w:rPr>
            <w:instrText xml:space="preserve">TOC \o "1-3" \h \u </w:instrText>
          </w:r>
          <w:r>
            <w:rPr>
              <w:rFonts w:ascii="黑体" w:hAnsi="黑体" w:eastAsia="黑体" w:cs="Times New Roman"/>
              <w:sz w:val="32"/>
              <w:szCs w:val="32"/>
            </w:rPr>
            <w:fldChar w:fldCharType="separate"/>
          </w:r>
          <w:r>
            <w:rPr>
              <w:rFonts w:ascii="黑体" w:hAnsi="黑体" w:eastAsia="黑体" w:cs="Times New Roman"/>
              <w:szCs w:val="32"/>
            </w:rPr>
            <w:fldChar w:fldCharType="begin"/>
          </w:r>
          <w:r>
            <w:rPr>
              <w:rFonts w:ascii="黑体" w:hAnsi="黑体" w:eastAsia="黑体" w:cs="Times New Roman"/>
              <w:szCs w:val="32"/>
            </w:rPr>
            <w:instrText xml:space="preserve"> HYPERLINK \l _Toc1017 </w:instrText>
          </w:r>
          <w:r>
            <w:rPr>
              <w:rFonts w:ascii="黑体" w:hAnsi="黑体" w:eastAsia="黑体" w:cs="Times New Roman"/>
              <w:szCs w:val="32"/>
            </w:rPr>
            <w:fldChar w:fldCharType="separate"/>
          </w:r>
          <w:r>
            <w:rPr>
              <w:rFonts w:hint="eastAsia" w:ascii="楷体_GB2312" w:hAnsi="黑体" w:eastAsia="楷体_GB2312" w:cs="楷体_GB2312"/>
              <w:bCs/>
              <w:kern w:val="2"/>
              <w:szCs w:val="32"/>
            </w:rPr>
            <w:t xml:space="preserve">一、 </w:t>
          </w:r>
          <w:r>
            <w:rPr>
              <w:rFonts w:hint="eastAsia" w:ascii="黑体" w:hAnsi="黑体" w:eastAsia="黑体" w:cs="黑体"/>
              <w:kern w:val="2"/>
              <w:szCs w:val="32"/>
            </w:rPr>
            <w:t>基本职能及主要工作</w:t>
          </w:r>
          <w:r>
            <w:tab/>
          </w:r>
          <w:r>
            <w:fldChar w:fldCharType="begin"/>
          </w:r>
          <w:r>
            <w:instrText xml:space="preserve"> PAGEREF _Toc1017 \h </w:instrText>
          </w:r>
          <w:r>
            <w:fldChar w:fldCharType="separate"/>
          </w:r>
          <w:r>
            <w:t>2</w:t>
          </w:r>
          <w:r>
            <w:fldChar w:fldCharType="end"/>
          </w:r>
          <w:r>
            <w:rPr>
              <w:rFonts w:ascii="黑体" w:hAnsi="黑体" w:eastAsia="黑体" w:cs="Times New Roman"/>
              <w:szCs w:val="32"/>
            </w:rPr>
            <w:fldChar w:fldCharType="end"/>
          </w:r>
        </w:p>
        <w:p>
          <w:pPr>
            <w:pStyle w:val="7"/>
            <w:tabs>
              <w:tab w:val="right" w:leader="dot" w:pos="8306"/>
            </w:tabs>
          </w:pPr>
          <w:r>
            <w:rPr>
              <w:rFonts w:ascii="黑体" w:hAnsi="黑体" w:eastAsia="黑体" w:cs="Times New Roman"/>
              <w:szCs w:val="32"/>
            </w:rPr>
            <w:fldChar w:fldCharType="begin"/>
          </w:r>
          <w:r>
            <w:rPr>
              <w:rFonts w:ascii="黑体" w:hAnsi="黑体" w:eastAsia="黑体" w:cs="Times New Roman"/>
              <w:szCs w:val="32"/>
            </w:rPr>
            <w:instrText xml:space="preserve"> HYPERLINK \l _Toc3427 </w:instrText>
          </w:r>
          <w:r>
            <w:rPr>
              <w:rFonts w:ascii="黑体" w:hAnsi="黑体" w:eastAsia="黑体" w:cs="Times New Roman"/>
              <w:szCs w:val="32"/>
            </w:rPr>
            <w:fldChar w:fldCharType="separate"/>
          </w:r>
          <w:r>
            <w:rPr>
              <w:rFonts w:hint="eastAsia" w:ascii="楷体_GB2312" w:hAnsi="黑体" w:eastAsia="楷体_GB2312" w:cs="楷体_GB2312"/>
              <w:bCs/>
              <w:kern w:val="2"/>
              <w:szCs w:val="32"/>
            </w:rPr>
            <w:t>（一）</w:t>
          </w:r>
          <w:r>
            <w:rPr>
              <w:rFonts w:hint="eastAsia" w:ascii="楷体_GB2312" w:hAnsi="黑体" w:eastAsia="楷体_GB2312" w:cs="楷体_GB2312"/>
              <w:bCs/>
              <w:kern w:val="2"/>
              <w:szCs w:val="32"/>
              <w:lang w:eastAsia="zh-CN"/>
            </w:rPr>
            <w:t>壤塘县人民检察院</w:t>
          </w:r>
          <w:r>
            <w:rPr>
              <w:rFonts w:hint="eastAsia" w:ascii="楷体_GB2312" w:hAnsi="黑体" w:eastAsia="楷体_GB2312" w:cs="楷体_GB2312"/>
              <w:bCs/>
              <w:kern w:val="2"/>
              <w:szCs w:val="32"/>
            </w:rPr>
            <w:t>职能简介</w:t>
          </w:r>
          <w:r>
            <w:tab/>
          </w:r>
          <w:r>
            <w:fldChar w:fldCharType="begin"/>
          </w:r>
          <w:r>
            <w:instrText xml:space="preserve"> PAGEREF _Toc3427 \h </w:instrText>
          </w:r>
          <w:r>
            <w:fldChar w:fldCharType="separate"/>
          </w:r>
          <w:r>
            <w:t>2</w:t>
          </w:r>
          <w:r>
            <w:fldChar w:fldCharType="end"/>
          </w:r>
          <w:r>
            <w:rPr>
              <w:rFonts w:ascii="黑体" w:hAnsi="黑体" w:eastAsia="黑体" w:cs="Times New Roman"/>
              <w:szCs w:val="32"/>
            </w:rPr>
            <w:fldChar w:fldCharType="end"/>
          </w:r>
        </w:p>
        <w:p>
          <w:pPr>
            <w:pStyle w:val="7"/>
            <w:tabs>
              <w:tab w:val="right" w:leader="dot" w:pos="8306"/>
            </w:tabs>
          </w:pPr>
          <w:r>
            <w:rPr>
              <w:rFonts w:ascii="黑体" w:hAnsi="黑体" w:eastAsia="黑体" w:cs="Times New Roman"/>
              <w:szCs w:val="32"/>
            </w:rPr>
            <w:fldChar w:fldCharType="begin"/>
          </w:r>
          <w:r>
            <w:rPr>
              <w:rFonts w:ascii="黑体" w:hAnsi="黑体" w:eastAsia="黑体" w:cs="Times New Roman"/>
              <w:szCs w:val="32"/>
            </w:rPr>
            <w:instrText xml:space="preserve"> HYPERLINK \l _Toc16562 </w:instrText>
          </w:r>
          <w:r>
            <w:rPr>
              <w:rFonts w:ascii="黑体" w:hAnsi="黑体" w:eastAsia="黑体" w:cs="Times New Roman"/>
              <w:szCs w:val="32"/>
            </w:rPr>
            <w:fldChar w:fldCharType="separate"/>
          </w:r>
          <w:r>
            <w:rPr>
              <w:rFonts w:hint="eastAsia" w:ascii="楷体_GB2312" w:hAnsi="黑体" w:eastAsia="楷体_GB2312" w:cs="楷体_GB2312"/>
              <w:bCs/>
              <w:kern w:val="2"/>
              <w:szCs w:val="32"/>
            </w:rPr>
            <w:t>（二）</w:t>
          </w:r>
          <w:r>
            <w:rPr>
              <w:rFonts w:hint="eastAsia" w:ascii="楷体_GB2312" w:hAnsi="黑体" w:eastAsia="楷体_GB2312" w:cs="楷体_GB2312"/>
              <w:bCs/>
              <w:kern w:val="2"/>
              <w:szCs w:val="32"/>
              <w:lang w:eastAsia="zh-CN"/>
            </w:rPr>
            <w:t>壤塘县人民检察院</w:t>
          </w:r>
          <w:r>
            <w:rPr>
              <w:rFonts w:ascii="楷体_GB2312" w:hAnsi="黑体" w:eastAsia="楷体_GB2312" w:cs="楷体_GB2312"/>
              <w:bCs/>
              <w:kern w:val="2"/>
              <w:szCs w:val="32"/>
            </w:rPr>
            <w:t>20</w:t>
          </w:r>
          <w:r>
            <w:rPr>
              <w:rFonts w:hint="eastAsia" w:ascii="楷体_GB2312" w:hAnsi="黑体" w:eastAsia="楷体_GB2312" w:cs="楷体_GB2312"/>
              <w:bCs/>
              <w:kern w:val="2"/>
              <w:szCs w:val="32"/>
            </w:rPr>
            <w:t>2</w:t>
          </w:r>
          <w:r>
            <w:rPr>
              <w:rFonts w:hint="eastAsia" w:ascii="楷体_GB2312" w:hAnsi="黑体" w:eastAsia="楷体_GB2312" w:cs="楷体_GB2312"/>
              <w:bCs/>
              <w:kern w:val="2"/>
              <w:szCs w:val="32"/>
              <w:lang w:val="en-US" w:eastAsia="zh-CN"/>
            </w:rPr>
            <w:t>2</w:t>
          </w:r>
          <w:r>
            <w:rPr>
              <w:rFonts w:ascii="楷体_GB2312" w:hAnsi="黑体" w:eastAsia="楷体_GB2312" w:cs="楷体_GB2312"/>
              <w:bCs/>
              <w:kern w:val="2"/>
              <w:szCs w:val="32"/>
            </w:rPr>
            <w:t>年</w:t>
          </w:r>
          <w:r>
            <w:rPr>
              <w:rFonts w:hint="eastAsia" w:ascii="楷体_GB2312" w:hAnsi="黑体" w:eastAsia="楷体_GB2312" w:cs="楷体_GB2312"/>
              <w:bCs/>
              <w:kern w:val="2"/>
              <w:szCs w:val="32"/>
            </w:rPr>
            <w:t>重点工作</w:t>
          </w:r>
          <w:r>
            <w:tab/>
          </w:r>
          <w:r>
            <w:fldChar w:fldCharType="begin"/>
          </w:r>
          <w:r>
            <w:instrText xml:space="preserve"> PAGEREF _Toc16562 \h </w:instrText>
          </w:r>
          <w:r>
            <w:fldChar w:fldCharType="separate"/>
          </w:r>
          <w:r>
            <w:t>4</w:t>
          </w:r>
          <w:r>
            <w:fldChar w:fldCharType="end"/>
          </w:r>
          <w:r>
            <w:rPr>
              <w:rFonts w:ascii="黑体" w:hAnsi="黑体" w:eastAsia="黑体" w:cs="Times New Roman"/>
              <w:szCs w:val="32"/>
            </w:rPr>
            <w:fldChar w:fldCharType="end"/>
          </w:r>
        </w:p>
        <w:p>
          <w:pPr>
            <w:pStyle w:val="6"/>
            <w:tabs>
              <w:tab w:val="right" w:leader="dot" w:pos="8306"/>
            </w:tabs>
          </w:pPr>
          <w:r>
            <w:rPr>
              <w:rFonts w:ascii="黑体" w:hAnsi="黑体" w:eastAsia="黑体" w:cs="Times New Roman"/>
              <w:szCs w:val="32"/>
            </w:rPr>
            <w:fldChar w:fldCharType="begin"/>
          </w:r>
          <w:r>
            <w:rPr>
              <w:rFonts w:ascii="黑体" w:hAnsi="黑体" w:eastAsia="黑体" w:cs="Times New Roman"/>
              <w:szCs w:val="32"/>
            </w:rPr>
            <w:instrText xml:space="preserve"> HYPERLINK \l _Toc19284 </w:instrText>
          </w:r>
          <w:r>
            <w:rPr>
              <w:rFonts w:ascii="黑体" w:hAnsi="黑体" w:eastAsia="黑体" w:cs="Times New Roman"/>
              <w:szCs w:val="32"/>
            </w:rPr>
            <w:fldChar w:fldCharType="separate"/>
          </w:r>
          <w:r>
            <w:rPr>
              <w:rFonts w:hint="eastAsia" w:ascii="黑体" w:hAnsi="黑体" w:eastAsia="黑体" w:cs="黑体"/>
              <w:kern w:val="2"/>
              <w:szCs w:val="32"/>
            </w:rPr>
            <w:t>二、 部门预算单位构成</w:t>
          </w:r>
          <w:r>
            <w:tab/>
          </w:r>
          <w:r>
            <w:fldChar w:fldCharType="begin"/>
          </w:r>
          <w:r>
            <w:instrText xml:space="preserve"> PAGEREF _Toc19284 \h </w:instrText>
          </w:r>
          <w:r>
            <w:fldChar w:fldCharType="separate"/>
          </w:r>
          <w:r>
            <w:t>8</w:t>
          </w:r>
          <w:r>
            <w:fldChar w:fldCharType="end"/>
          </w:r>
          <w:r>
            <w:rPr>
              <w:rFonts w:ascii="黑体" w:hAnsi="黑体" w:eastAsia="黑体" w:cs="Times New Roman"/>
              <w:szCs w:val="32"/>
            </w:rPr>
            <w:fldChar w:fldCharType="end"/>
          </w:r>
        </w:p>
        <w:p>
          <w:pPr>
            <w:pStyle w:val="6"/>
            <w:tabs>
              <w:tab w:val="right" w:leader="dot" w:pos="8306"/>
            </w:tabs>
          </w:pPr>
          <w:r>
            <w:rPr>
              <w:rFonts w:ascii="黑体" w:hAnsi="黑体" w:eastAsia="黑体" w:cs="Times New Roman"/>
              <w:szCs w:val="32"/>
            </w:rPr>
            <w:fldChar w:fldCharType="begin"/>
          </w:r>
          <w:r>
            <w:rPr>
              <w:rFonts w:ascii="黑体" w:hAnsi="黑体" w:eastAsia="黑体" w:cs="Times New Roman"/>
              <w:szCs w:val="32"/>
            </w:rPr>
            <w:instrText xml:space="preserve"> HYPERLINK \l _Toc17456 </w:instrText>
          </w:r>
          <w:r>
            <w:rPr>
              <w:rFonts w:ascii="黑体" w:hAnsi="黑体" w:eastAsia="黑体" w:cs="Times New Roman"/>
              <w:szCs w:val="32"/>
            </w:rPr>
            <w:fldChar w:fldCharType="separate"/>
          </w:r>
          <w:r>
            <w:rPr>
              <w:rFonts w:hint="eastAsia" w:ascii="黑体" w:hAnsi="黑体" w:eastAsia="黑体" w:cs="黑体"/>
              <w:kern w:val="2"/>
              <w:szCs w:val="32"/>
            </w:rPr>
            <w:t>三、收支预算情况说明</w:t>
          </w:r>
          <w:r>
            <w:tab/>
          </w:r>
          <w:r>
            <w:fldChar w:fldCharType="begin"/>
          </w:r>
          <w:r>
            <w:instrText xml:space="preserve"> PAGEREF _Toc17456 \h </w:instrText>
          </w:r>
          <w:r>
            <w:fldChar w:fldCharType="separate"/>
          </w:r>
          <w:r>
            <w:t>8</w:t>
          </w:r>
          <w:r>
            <w:fldChar w:fldCharType="end"/>
          </w:r>
          <w:r>
            <w:rPr>
              <w:rFonts w:ascii="黑体" w:hAnsi="黑体" w:eastAsia="黑体" w:cs="Times New Roman"/>
              <w:szCs w:val="32"/>
            </w:rPr>
            <w:fldChar w:fldCharType="end"/>
          </w:r>
        </w:p>
        <w:p>
          <w:pPr>
            <w:pStyle w:val="7"/>
            <w:tabs>
              <w:tab w:val="right" w:leader="dot" w:pos="8306"/>
            </w:tabs>
          </w:pPr>
          <w:r>
            <w:rPr>
              <w:rFonts w:ascii="黑体" w:hAnsi="黑体" w:eastAsia="黑体" w:cs="Times New Roman"/>
              <w:szCs w:val="32"/>
            </w:rPr>
            <w:fldChar w:fldCharType="begin"/>
          </w:r>
          <w:r>
            <w:rPr>
              <w:rFonts w:ascii="黑体" w:hAnsi="黑体" w:eastAsia="黑体" w:cs="Times New Roman"/>
              <w:szCs w:val="32"/>
            </w:rPr>
            <w:instrText xml:space="preserve"> HYPERLINK \l _Toc15363 </w:instrText>
          </w:r>
          <w:r>
            <w:rPr>
              <w:rFonts w:ascii="黑体" w:hAnsi="黑体" w:eastAsia="黑体" w:cs="Times New Roman"/>
              <w:szCs w:val="32"/>
            </w:rPr>
            <w:fldChar w:fldCharType="separate"/>
          </w:r>
          <w:r>
            <w:rPr>
              <w:rFonts w:hint="eastAsia" w:hAnsi="黑体"/>
              <w:kern w:val="2"/>
              <w:szCs w:val="32"/>
            </w:rPr>
            <w:t xml:space="preserve">（一） </w:t>
          </w:r>
          <w:r>
            <w:rPr>
              <w:rFonts w:hint="eastAsia" w:ascii="楷体_GB2312" w:hAnsi="黑体" w:eastAsia="楷体_GB2312" w:cs="楷体_GB2312"/>
              <w:bCs/>
              <w:kern w:val="2"/>
              <w:szCs w:val="32"/>
            </w:rPr>
            <w:t>收入预算情况</w:t>
          </w:r>
          <w:r>
            <w:tab/>
          </w:r>
          <w:r>
            <w:fldChar w:fldCharType="begin"/>
          </w:r>
          <w:r>
            <w:instrText xml:space="preserve"> PAGEREF _Toc15363 \h </w:instrText>
          </w:r>
          <w:r>
            <w:fldChar w:fldCharType="separate"/>
          </w:r>
          <w:r>
            <w:t>8</w:t>
          </w:r>
          <w:r>
            <w:fldChar w:fldCharType="end"/>
          </w:r>
          <w:r>
            <w:rPr>
              <w:rFonts w:ascii="黑体" w:hAnsi="黑体" w:eastAsia="黑体" w:cs="Times New Roman"/>
              <w:szCs w:val="32"/>
            </w:rPr>
            <w:fldChar w:fldCharType="end"/>
          </w:r>
        </w:p>
        <w:p>
          <w:pPr>
            <w:pStyle w:val="7"/>
            <w:tabs>
              <w:tab w:val="right" w:leader="dot" w:pos="8306"/>
            </w:tabs>
          </w:pPr>
          <w:r>
            <w:rPr>
              <w:rFonts w:ascii="黑体" w:hAnsi="黑体" w:eastAsia="黑体" w:cs="Times New Roman"/>
              <w:szCs w:val="32"/>
            </w:rPr>
            <w:fldChar w:fldCharType="begin"/>
          </w:r>
          <w:r>
            <w:rPr>
              <w:rFonts w:ascii="黑体" w:hAnsi="黑体" w:eastAsia="黑体" w:cs="Times New Roman"/>
              <w:szCs w:val="32"/>
            </w:rPr>
            <w:instrText xml:space="preserve"> HYPERLINK \l _Toc26440 </w:instrText>
          </w:r>
          <w:r>
            <w:rPr>
              <w:rFonts w:ascii="黑体" w:hAnsi="黑体" w:eastAsia="黑体" w:cs="Times New Roman"/>
              <w:szCs w:val="32"/>
            </w:rPr>
            <w:fldChar w:fldCharType="separate"/>
          </w:r>
          <w:r>
            <w:rPr>
              <w:rFonts w:hint="eastAsia" w:ascii="楷体_GB2312" w:hAnsi="黑体" w:eastAsia="楷体_GB2312" w:cs="楷体_GB2312"/>
              <w:bCs/>
              <w:kern w:val="2"/>
              <w:szCs w:val="32"/>
            </w:rPr>
            <w:t>（二）支出预算情况</w:t>
          </w:r>
          <w:r>
            <w:tab/>
          </w:r>
          <w:r>
            <w:fldChar w:fldCharType="begin"/>
          </w:r>
          <w:r>
            <w:instrText xml:space="preserve"> PAGEREF _Toc26440 \h </w:instrText>
          </w:r>
          <w:r>
            <w:fldChar w:fldCharType="separate"/>
          </w:r>
          <w:r>
            <w:t>9</w:t>
          </w:r>
          <w:r>
            <w:fldChar w:fldCharType="end"/>
          </w:r>
          <w:r>
            <w:rPr>
              <w:rFonts w:ascii="黑体" w:hAnsi="黑体" w:eastAsia="黑体" w:cs="Times New Roman"/>
              <w:szCs w:val="32"/>
            </w:rPr>
            <w:fldChar w:fldCharType="end"/>
          </w:r>
        </w:p>
        <w:p>
          <w:pPr>
            <w:pStyle w:val="6"/>
            <w:tabs>
              <w:tab w:val="right" w:leader="dot" w:pos="8306"/>
            </w:tabs>
          </w:pPr>
          <w:r>
            <w:rPr>
              <w:rFonts w:ascii="黑体" w:hAnsi="黑体" w:eastAsia="黑体" w:cs="Times New Roman"/>
              <w:szCs w:val="32"/>
            </w:rPr>
            <w:fldChar w:fldCharType="begin"/>
          </w:r>
          <w:r>
            <w:rPr>
              <w:rFonts w:ascii="黑体" w:hAnsi="黑体" w:eastAsia="黑体" w:cs="Times New Roman"/>
              <w:szCs w:val="32"/>
            </w:rPr>
            <w:instrText xml:space="preserve"> HYPERLINK \l _Toc16236 </w:instrText>
          </w:r>
          <w:r>
            <w:rPr>
              <w:rFonts w:ascii="黑体" w:hAnsi="黑体" w:eastAsia="黑体" w:cs="Times New Roman"/>
              <w:szCs w:val="32"/>
            </w:rPr>
            <w:fldChar w:fldCharType="separate"/>
          </w:r>
          <w:r>
            <w:rPr>
              <w:rFonts w:hint="eastAsia" w:ascii="黑体" w:hAnsi="黑体" w:eastAsia="黑体" w:cs="黑体"/>
              <w:kern w:val="2"/>
              <w:szCs w:val="32"/>
            </w:rPr>
            <w:t>四、 财政拨款收支预算情况说明</w:t>
          </w:r>
          <w:r>
            <w:tab/>
          </w:r>
          <w:r>
            <w:fldChar w:fldCharType="begin"/>
          </w:r>
          <w:r>
            <w:instrText xml:space="preserve"> PAGEREF _Toc16236 \h </w:instrText>
          </w:r>
          <w:r>
            <w:fldChar w:fldCharType="separate"/>
          </w:r>
          <w:r>
            <w:t>9</w:t>
          </w:r>
          <w:r>
            <w:fldChar w:fldCharType="end"/>
          </w:r>
          <w:r>
            <w:rPr>
              <w:rFonts w:ascii="黑体" w:hAnsi="黑体" w:eastAsia="黑体" w:cs="Times New Roman"/>
              <w:szCs w:val="32"/>
            </w:rPr>
            <w:fldChar w:fldCharType="end"/>
          </w:r>
        </w:p>
        <w:p>
          <w:pPr>
            <w:pStyle w:val="6"/>
            <w:tabs>
              <w:tab w:val="right" w:leader="dot" w:pos="8306"/>
            </w:tabs>
          </w:pPr>
          <w:r>
            <w:rPr>
              <w:rFonts w:ascii="黑体" w:hAnsi="黑体" w:eastAsia="黑体" w:cs="Times New Roman"/>
              <w:szCs w:val="32"/>
            </w:rPr>
            <w:fldChar w:fldCharType="begin"/>
          </w:r>
          <w:r>
            <w:rPr>
              <w:rFonts w:ascii="黑体" w:hAnsi="黑体" w:eastAsia="黑体" w:cs="Times New Roman"/>
              <w:szCs w:val="32"/>
            </w:rPr>
            <w:instrText xml:space="preserve"> HYPERLINK \l _Toc12950 </w:instrText>
          </w:r>
          <w:r>
            <w:rPr>
              <w:rFonts w:ascii="黑体" w:hAnsi="黑体" w:eastAsia="黑体" w:cs="Times New Roman"/>
              <w:szCs w:val="32"/>
            </w:rPr>
            <w:fldChar w:fldCharType="separate"/>
          </w:r>
          <w:r>
            <w:rPr>
              <w:rFonts w:hint="eastAsia" w:ascii="黑体" w:hAnsi="黑体" w:eastAsia="黑体" w:cs="黑体"/>
              <w:kern w:val="2"/>
              <w:szCs w:val="32"/>
            </w:rPr>
            <w:t>五、 一般公共预算当年拨款情况说明</w:t>
          </w:r>
          <w:r>
            <w:tab/>
          </w:r>
          <w:r>
            <w:fldChar w:fldCharType="begin"/>
          </w:r>
          <w:r>
            <w:instrText xml:space="preserve"> PAGEREF _Toc12950 \h </w:instrText>
          </w:r>
          <w:r>
            <w:fldChar w:fldCharType="separate"/>
          </w:r>
          <w:r>
            <w:t>9</w:t>
          </w:r>
          <w:r>
            <w:fldChar w:fldCharType="end"/>
          </w:r>
          <w:r>
            <w:rPr>
              <w:rFonts w:ascii="黑体" w:hAnsi="黑体" w:eastAsia="黑体" w:cs="Times New Roman"/>
              <w:szCs w:val="32"/>
            </w:rPr>
            <w:fldChar w:fldCharType="end"/>
          </w:r>
        </w:p>
        <w:p>
          <w:pPr>
            <w:pStyle w:val="7"/>
            <w:tabs>
              <w:tab w:val="right" w:leader="dot" w:pos="8306"/>
            </w:tabs>
          </w:pPr>
          <w:r>
            <w:rPr>
              <w:rFonts w:ascii="黑体" w:hAnsi="黑体" w:eastAsia="黑体" w:cs="Times New Roman"/>
              <w:szCs w:val="32"/>
            </w:rPr>
            <w:fldChar w:fldCharType="begin"/>
          </w:r>
          <w:r>
            <w:rPr>
              <w:rFonts w:ascii="黑体" w:hAnsi="黑体" w:eastAsia="黑体" w:cs="Times New Roman"/>
              <w:szCs w:val="32"/>
            </w:rPr>
            <w:instrText xml:space="preserve"> HYPERLINK \l _Toc2568 </w:instrText>
          </w:r>
          <w:r>
            <w:rPr>
              <w:rFonts w:ascii="黑体" w:hAnsi="黑体" w:eastAsia="黑体" w:cs="Times New Roman"/>
              <w:szCs w:val="32"/>
            </w:rPr>
            <w:fldChar w:fldCharType="separate"/>
          </w:r>
          <w:r>
            <w:rPr>
              <w:rFonts w:hint="eastAsia" w:ascii="楷体_GB2312" w:hAnsi="黑体" w:eastAsia="楷体_GB2312" w:cs="楷体_GB2312"/>
              <w:bCs/>
              <w:kern w:val="2"/>
              <w:szCs w:val="32"/>
            </w:rPr>
            <w:t>（一）一般公共预算当年拨款规模变化情况</w:t>
          </w:r>
          <w:r>
            <w:tab/>
          </w:r>
          <w:r>
            <w:fldChar w:fldCharType="begin"/>
          </w:r>
          <w:r>
            <w:instrText xml:space="preserve"> PAGEREF _Toc2568 \h </w:instrText>
          </w:r>
          <w:r>
            <w:fldChar w:fldCharType="separate"/>
          </w:r>
          <w:r>
            <w:t>9</w:t>
          </w:r>
          <w:r>
            <w:fldChar w:fldCharType="end"/>
          </w:r>
          <w:r>
            <w:rPr>
              <w:rFonts w:ascii="黑体" w:hAnsi="黑体" w:eastAsia="黑体" w:cs="Times New Roman"/>
              <w:szCs w:val="32"/>
            </w:rPr>
            <w:fldChar w:fldCharType="end"/>
          </w:r>
        </w:p>
        <w:p>
          <w:pPr>
            <w:pStyle w:val="7"/>
            <w:tabs>
              <w:tab w:val="right" w:leader="dot" w:pos="8306"/>
            </w:tabs>
          </w:pPr>
          <w:r>
            <w:rPr>
              <w:rFonts w:ascii="黑体" w:hAnsi="黑体" w:eastAsia="黑体" w:cs="Times New Roman"/>
              <w:szCs w:val="32"/>
            </w:rPr>
            <w:fldChar w:fldCharType="begin"/>
          </w:r>
          <w:r>
            <w:rPr>
              <w:rFonts w:ascii="黑体" w:hAnsi="黑体" w:eastAsia="黑体" w:cs="Times New Roman"/>
              <w:szCs w:val="32"/>
            </w:rPr>
            <w:instrText xml:space="preserve"> HYPERLINK \l _Toc17873 </w:instrText>
          </w:r>
          <w:r>
            <w:rPr>
              <w:rFonts w:ascii="黑体" w:hAnsi="黑体" w:eastAsia="黑体" w:cs="Times New Roman"/>
              <w:szCs w:val="32"/>
            </w:rPr>
            <w:fldChar w:fldCharType="separate"/>
          </w:r>
          <w:r>
            <w:rPr>
              <w:rFonts w:hint="eastAsia" w:ascii="楷体_GB2312" w:hAnsi="黑体" w:eastAsia="楷体_GB2312" w:cs="楷体_GB2312"/>
              <w:bCs/>
              <w:kern w:val="2"/>
              <w:szCs w:val="32"/>
            </w:rPr>
            <w:t>（二）一般公共预算当年拨款结构情况</w:t>
          </w:r>
          <w:r>
            <w:tab/>
          </w:r>
          <w:r>
            <w:fldChar w:fldCharType="begin"/>
          </w:r>
          <w:r>
            <w:instrText xml:space="preserve"> PAGEREF _Toc17873 \h </w:instrText>
          </w:r>
          <w:r>
            <w:fldChar w:fldCharType="separate"/>
          </w:r>
          <w:r>
            <w:t>9</w:t>
          </w:r>
          <w:r>
            <w:fldChar w:fldCharType="end"/>
          </w:r>
          <w:r>
            <w:rPr>
              <w:rFonts w:ascii="黑体" w:hAnsi="黑体" w:eastAsia="黑体" w:cs="Times New Roman"/>
              <w:szCs w:val="32"/>
            </w:rPr>
            <w:fldChar w:fldCharType="end"/>
          </w:r>
        </w:p>
        <w:p>
          <w:pPr>
            <w:pStyle w:val="7"/>
            <w:tabs>
              <w:tab w:val="right" w:leader="dot" w:pos="8306"/>
            </w:tabs>
          </w:pPr>
          <w:r>
            <w:rPr>
              <w:rFonts w:ascii="黑体" w:hAnsi="黑体" w:eastAsia="黑体" w:cs="Times New Roman"/>
              <w:szCs w:val="32"/>
            </w:rPr>
            <w:fldChar w:fldCharType="begin"/>
          </w:r>
          <w:r>
            <w:rPr>
              <w:rFonts w:ascii="黑体" w:hAnsi="黑体" w:eastAsia="黑体" w:cs="Times New Roman"/>
              <w:szCs w:val="32"/>
            </w:rPr>
            <w:instrText xml:space="preserve"> HYPERLINK \l _Toc3403 </w:instrText>
          </w:r>
          <w:r>
            <w:rPr>
              <w:rFonts w:ascii="黑体" w:hAnsi="黑体" w:eastAsia="黑体" w:cs="Times New Roman"/>
              <w:szCs w:val="32"/>
            </w:rPr>
            <w:fldChar w:fldCharType="separate"/>
          </w:r>
          <w:r>
            <w:rPr>
              <w:rFonts w:hint="eastAsia" w:ascii="楷体_GB2312" w:hAnsi="黑体" w:eastAsia="楷体_GB2312" w:cs="楷体_GB2312"/>
              <w:bCs/>
              <w:kern w:val="2"/>
              <w:szCs w:val="32"/>
            </w:rPr>
            <w:t>（二） 一般公共预算当年拨款具体使用情况</w:t>
          </w:r>
          <w:r>
            <w:tab/>
          </w:r>
          <w:r>
            <w:fldChar w:fldCharType="begin"/>
          </w:r>
          <w:r>
            <w:instrText xml:space="preserve"> PAGEREF _Toc3403 \h </w:instrText>
          </w:r>
          <w:r>
            <w:fldChar w:fldCharType="separate"/>
          </w:r>
          <w:r>
            <w:t>9</w:t>
          </w:r>
          <w:r>
            <w:fldChar w:fldCharType="end"/>
          </w:r>
          <w:r>
            <w:rPr>
              <w:rFonts w:ascii="黑体" w:hAnsi="黑体" w:eastAsia="黑体" w:cs="Times New Roman"/>
              <w:szCs w:val="32"/>
            </w:rPr>
            <w:fldChar w:fldCharType="end"/>
          </w:r>
        </w:p>
        <w:p>
          <w:pPr>
            <w:pStyle w:val="6"/>
            <w:tabs>
              <w:tab w:val="right" w:leader="dot" w:pos="8306"/>
            </w:tabs>
          </w:pPr>
          <w:r>
            <w:rPr>
              <w:rFonts w:ascii="黑体" w:hAnsi="黑体" w:eastAsia="黑体" w:cs="Times New Roman"/>
              <w:szCs w:val="32"/>
            </w:rPr>
            <w:fldChar w:fldCharType="begin"/>
          </w:r>
          <w:r>
            <w:rPr>
              <w:rFonts w:ascii="黑体" w:hAnsi="黑体" w:eastAsia="黑体" w:cs="Times New Roman"/>
              <w:szCs w:val="32"/>
            </w:rPr>
            <w:instrText xml:space="preserve"> HYPERLINK \l _Toc17102 </w:instrText>
          </w:r>
          <w:r>
            <w:rPr>
              <w:rFonts w:ascii="黑体" w:hAnsi="黑体" w:eastAsia="黑体" w:cs="Times New Roman"/>
              <w:szCs w:val="32"/>
            </w:rPr>
            <w:fldChar w:fldCharType="separate"/>
          </w:r>
          <w:r>
            <w:rPr>
              <w:rFonts w:hint="eastAsia" w:ascii="黑体" w:hAnsi="黑体" w:eastAsia="黑体" w:cs="黑体"/>
              <w:kern w:val="2"/>
              <w:szCs w:val="32"/>
            </w:rPr>
            <w:t>六、一般公共预算基本支出情况说明</w:t>
          </w:r>
          <w:r>
            <w:tab/>
          </w:r>
          <w:r>
            <w:fldChar w:fldCharType="begin"/>
          </w:r>
          <w:r>
            <w:instrText xml:space="preserve"> PAGEREF _Toc17102 \h </w:instrText>
          </w:r>
          <w:r>
            <w:fldChar w:fldCharType="separate"/>
          </w:r>
          <w:r>
            <w:t>10</w:t>
          </w:r>
          <w:r>
            <w:fldChar w:fldCharType="end"/>
          </w:r>
          <w:r>
            <w:rPr>
              <w:rFonts w:ascii="黑体" w:hAnsi="黑体" w:eastAsia="黑体" w:cs="Times New Roman"/>
              <w:szCs w:val="32"/>
            </w:rPr>
            <w:fldChar w:fldCharType="end"/>
          </w:r>
        </w:p>
        <w:p>
          <w:pPr>
            <w:pStyle w:val="6"/>
            <w:tabs>
              <w:tab w:val="right" w:leader="dot" w:pos="8306"/>
            </w:tabs>
          </w:pPr>
          <w:r>
            <w:rPr>
              <w:rFonts w:ascii="黑体" w:hAnsi="黑体" w:eastAsia="黑体" w:cs="Times New Roman"/>
              <w:szCs w:val="32"/>
            </w:rPr>
            <w:fldChar w:fldCharType="begin"/>
          </w:r>
          <w:r>
            <w:rPr>
              <w:rFonts w:ascii="黑体" w:hAnsi="黑体" w:eastAsia="黑体" w:cs="Times New Roman"/>
              <w:szCs w:val="32"/>
            </w:rPr>
            <w:instrText xml:space="preserve"> HYPERLINK \l _Toc18717 </w:instrText>
          </w:r>
          <w:r>
            <w:rPr>
              <w:rFonts w:ascii="黑体" w:hAnsi="黑体" w:eastAsia="黑体" w:cs="Times New Roman"/>
              <w:szCs w:val="32"/>
            </w:rPr>
            <w:fldChar w:fldCharType="separate"/>
          </w:r>
          <w:r>
            <w:rPr>
              <w:rFonts w:hint="eastAsia" w:ascii="黑体" w:hAnsi="黑体" w:eastAsia="黑体" w:cs="Times New Roman"/>
              <w:kern w:val="2"/>
              <w:szCs w:val="32"/>
              <w:lang w:val="en-US" w:eastAsia="zh-CN"/>
            </w:rPr>
            <w:t>七、</w:t>
          </w:r>
          <w:r>
            <w:rPr>
              <w:rFonts w:ascii="黑体" w:hAnsi="黑体" w:eastAsia="黑体" w:cs="Times New Roman"/>
              <w:kern w:val="2"/>
              <w:szCs w:val="32"/>
            </w:rPr>
            <w:t>“</w:t>
          </w:r>
          <w:r>
            <w:rPr>
              <w:rFonts w:hint="eastAsia" w:ascii="黑体" w:hAnsi="黑体" w:eastAsia="黑体" w:cs="黑体"/>
              <w:kern w:val="2"/>
              <w:szCs w:val="32"/>
            </w:rPr>
            <w:t>三公</w:t>
          </w:r>
          <w:r>
            <w:rPr>
              <w:rFonts w:ascii="黑体" w:hAnsi="黑体" w:eastAsia="黑体" w:cs="Times New Roman"/>
              <w:kern w:val="2"/>
              <w:szCs w:val="32"/>
            </w:rPr>
            <w:t>”</w:t>
          </w:r>
          <w:r>
            <w:rPr>
              <w:rFonts w:hint="eastAsia" w:ascii="黑体" w:hAnsi="黑体" w:eastAsia="黑体" w:cs="黑体"/>
              <w:kern w:val="2"/>
              <w:szCs w:val="32"/>
            </w:rPr>
            <w:t>经费财政拨款预算安排情况说明</w:t>
          </w:r>
          <w:r>
            <w:tab/>
          </w:r>
          <w:r>
            <w:fldChar w:fldCharType="begin"/>
          </w:r>
          <w:r>
            <w:instrText xml:space="preserve"> PAGEREF _Toc18717 \h </w:instrText>
          </w:r>
          <w:r>
            <w:fldChar w:fldCharType="separate"/>
          </w:r>
          <w:r>
            <w:t>11</w:t>
          </w:r>
          <w:r>
            <w:fldChar w:fldCharType="end"/>
          </w:r>
          <w:r>
            <w:rPr>
              <w:rFonts w:ascii="黑体" w:hAnsi="黑体" w:eastAsia="黑体" w:cs="Times New Roman"/>
              <w:szCs w:val="32"/>
            </w:rPr>
            <w:fldChar w:fldCharType="end"/>
          </w:r>
        </w:p>
        <w:p>
          <w:pPr>
            <w:pStyle w:val="6"/>
            <w:tabs>
              <w:tab w:val="right" w:leader="dot" w:pos="8306"/>
            </w:tabs>
          </w:pPr>
          <w:r>
            <w:rPr>
              <w:rFonts w:ascii="黑体" w:hAnsi="黑体" w:eastAsia="黑体" w:cs="Times New Roman"/>
              <w:szCs w:val="32"/>
            </w:rPr>
            <w:fldChar w:fldCharType="begin"/>
          </w:r>
          <w:r>
            <w:rPr>
              <w:rFonts w:ascii="黑体" w:hAnsi="黑体" w:eastAsia="黑体" w:cs="Times New Roman"/>
              <w:szCs w:val="32"/>
            </w:rPr>
            <w:instrText xml:space="preserve"> HYPERLINK \l _Toc8604 </w:instrText>
          </w:r>
          <w:r>
            <w:rPr>
              <w:rFonts w:ascii="黑体" w:hAnsi="黑体" w:eastAsia="黑体" w:cs="Times New Roman"/>
              <w:szCs w:val="32"/>
            </w:rPr>
            <w:fldChar w:fldCharType="separate"/>
          </w:r>
          <w:r>
            <w:rPr>
              <w:rFonts w:hint="eastAsia" w:ascii="黑体" w:hAnsi="黑体" w:eastAsia="黑体" w:cs="黑体"/>
              <w:kern w:val="2"/>
              <w:szCs w:val="32"/>
            </w:rPr>
            <w:t>八、 政府性基金预算支出情况说明</w:t>
          </w:r>
          <w:r>
            <w:tab/>
          </w:r>
          <w:r>
            <w:fldChar w:fldCharType="begin"/>
          </w:r>
          <w:r>
            <w:instrText xml:space="preserve"> PAGEREF _Toc8604 \h </w:instrText>
          </w:r>
          <w:r>
            <w:fldChar w:fldCharType="separate"/>
          </w:r>
          <w:r>
            <w:t>11</w:t>
          </w:r>
          <w:r>
            <w:fldChar w:fldCharType="end"/>
          </w:r>
          <w:r>
            <w:rPr>
              <w:rFonts w:ascii="黑体" w:hAnsi="黑体" w:eastAsia="黑体" w:cs="Times New Roman"/>
              <w:szCs w:val="32"/>
            </w:rPr>
            <w:fldChar w:fldCharType="end"/>
          </w:r>
        </w:p>
        <w:p>
          <w:pPr>
            <w:pStyle w:val="6"/>
            <w:tabs>
              <w:tab w:val="right" w:leader="dot" w:pos="8306"/>
            </w:tabs>
          </w:pPr>
          <w:r>
            <w:rPr>
              <w:rFonts w:ascii="黑体" w:hAnsi="黑体" w:eastAsia="黑体" w:cs="Times New Roman"/>
              <w:szCs w:val="32"/>
            </w:rPr>
            <w:fldChar w:fldCharType="begin"/>
          </w:r>
          <w:r>
            <w:rPr>
              <w:rFonts w:ascii="黑体" w:hAnsi="黑体" w:eastAsia="黑体" w:cs="Times New Roman"/>
              <w:szCs w:val="32"/>
            </w:rPr>
            <w:instrText xml:space="preserve"> HYPERLINK \l _Toc30223 </w:instrText>
          </w:r>
          <w:r>
            <w:rPr>
              <w:rFonts w:ascii="黑体" w:hAnsi="黑体" w:eastAsia="黑体" w:cs="Times New Roman"/>
              <w:szCs w:val="32"/>
            </w:rPr>
            <w:fldChar w:fldCharType="separate"/>
          </w:r>
          <w:r>
            <w:rPr>
              <w:rFonts w:hint="eastAsia" w:hAnsi="黑体"/>
              <w:kern w:val="2"/>
              <w:szCs w:val="32"/>
            </w:rPr>
            <w:t xml:space="preserve">九、 </w:t>
          </w:r>
          <w:r>
            <w:rPr>
              <w:rFonts w:hint="eastAsia" w:ascii="黑体" w:hAnsi="黑体" w:eastAsia="黑体" w:cs="黑体"/>
              <w:kern w:val="2"/>
              <w:szCs w:val="32"/>
            </w:rPr>
            <w:t>其他重要事项的情况说明</w:t>
          </w:r>
          <w:r>
            <w:tab/>
          </w:r>
          <w:r>
            <w:fldChar w:fldCharType="begin"/>
          </w:r>
          <w:r>
            <w:instrText xml:space="preserve"> PAGEREF _Toc30223 \h </w:instrText>
          </w:r>
          <w:r>
            <w:fldChar w:fldCharType="separate"/>
          </w:r>
          <w:r>
            <w:t>11</w:t>
          </w:r>
          <w:r>
            <w:fldChar w:fldCharType="end"/>
          </w:r>
          <w:r>
            <w:rPr>
              <w:rFonts w:ascii="黑体" w:hAnsi="黑体" w:eastAsia="黑体" w:cs="Times New Roman"/>
              <w:szCs w:val="32"/>
            </w:rPr>
            <w:fldChar w:fldCharType="end"/>
          </w:r>
        </w:p>
        <w:p>
          <w:pPr>
            <w:pStyle w:val="7"/>
            <w:tabs>
              <w:tab w:val="right" w:leader="dot" w:pos="8306"/>
            </w:tabs>
          </w:pPr>
          <w:r>
            <w:rPr>
              <w:rFonts w:ascii="黑体" w:hAnsi="黑体" w:eastAsia="黑体" w:cs="Times New Roman"/>
              <w:szCs w:val="32"/>
            </w:rPr>
            <w:fldChar w:fldCharType="begin"/>
          </w:r>
          <w:r>
            <w:rPr>
              <w:rFonts w:ascii="黑体" w:hAnsi="黑体" w:eastAsia="黑体" w:cs="Times New Roman"/>
              <w:szCs w:val="32"/>
            </w:rPr>
            <w:instrText xml:space="preserve"> HYPERLINK \l _Toc15953 </w:instrText>
          </w:r>
          <w:r>
            <w:rPr>
              <w:rFonts w:ascii="黑体" w:hAnsi="黑体" w:eastAsia="黑体" w:cs="Times New Roman"/>
              <w:szCs w:val="32"/>
            </w:rPr>
            <w:fldChar w:fldCharType="separate"/>
          </w:r>
          <w:r>
            <w:rPr>
              <w:rFonts w:hint="eastAsia" w:ascii="楷体_GB2312" w:hAnsi="黑体" w:eastAsia="楷体_GB2312" w:cs="Times New Roman"/>
              <w:bCs/>
              <w:kern w:val="2"/>
              <w:szCs w:val="32"/>
            </w:rPr>
            <w:t xml:space="preserve">（一） </w:t>
          </w:r>
          <w:r>
            <w:rPr>
              <w:rFonts w:hint="eastAsia" w:ascii="楷体_GB2312" w:hAnsi="黑体" w:eastAsia="楷体_GB2312" w:cs="楷体_GB2312"/>
              <w:bCs/>
              <w:kern w:val="2"/>
              <w:szCs w:val="32"/>
            </w:rPr>
            <w:t>机关运行经</w:t>
          </w:r>
          <w:r>
            <w:rPr>
              <w:rFonts w:hint="eastAsia" w:ascii="楷体_GB2312" w:hAnsi="黑体" w:eastAsia="楷体_GB2312" w:cs="楷体_GB2312"/>
              <w:bCs/>
              <w:kern w:val="2"/>
              <w:szCs w:val="32"/>
              <w:lang w:val="en-US" w:eastAsia="zh-CN"/>
            </w:rPr>
            <w:t>费</w:t>
          </w:r>
          <w:r>
            <w:tab/>
          </w:r>
          <w:r>
            <w:fldChar w:fldCharType="begin"/>
          </w:r>
          <w:r>
            <w:instrText xml:space="preserve"> PAGEREF _Toc15953 \h </w:instrText>
          </w:r>
          <w:r>
            <w:fldChar w:fldCharType="separate"/>
          </w:r>
          <w:r>
            <w:t>11</w:t>
          </w:r>
          <w:r>
            <w:fldChar w:fldCharType="end"/>
          </w:r>
          <w:r>
            <w:rPr>
              <w:rFonts w:ascii="黑体" w:hAnsi="黑体" w:eastAsia="黑体" w:cs="Times New Roman"/>
              <w:szCs w:val="32"/>
            </w:rPr>
            <w:fldChar w:fldCharType="end"/>
          </w:r>
        </w:p>
        <w:p>
          <w:pPr>
            <w:pStyle w:val="7"/>
            <w:tabs>
              <w:tab w:val="right" w:leader="dot" w:pos="8306"/>
            </w:tabs>
          </w:pPr>
          <w:r>
            <w:rPr>
              <w:rFonts w:ascii="黑体" w:hAnsi="黑体" w:eastAsia="黑体" w:cs="Times New Roman"/>
              <w:szCs w:val="32"/>
            </w:rPr>
            <w:fldChar w:fldCharType="begin"/>
          </w:r>
          <w:r>
            <w:rPr>
              <w:rFonts w:ascii="黑体" w:hAnsi="黑体" w:eastAsia="黑体" w:cs="Times New Roman"/>
              <w:szCs w:val="32"/>
            </w:rPr>
            <w:instrText xml:space="preserve"> HYPERLINK \l _Toc13925 </w:instrText>
          </w:r>
          <w:r>
            <w:rPr>
              <w:rFonts w:ascii="黑体" w:hAnsi="黑体" w:eastAsia="黑体" w:cs="Times New Roman"/>
              <w:szCs w:val="32"/>
            </w:rPr>
            <w:fldChar w:fldCharType="separate"/>
          </w:r>
          <w:r>
            <w:rPr>
              <w:rFonts w:hint="eastAsia" w:ascii="楷体_GB2312" w:hAnsi="黑体" w:eastAsia="楷体_GB2312" w:cs="楷体_GB2312"/>
              <w:bCs/>
              <w:kern w:val="2"/>
              <w:szCs w:val="32"/>
            </w:rPr>
            <w:t>（二） 政府采购情况</w:t>
          </w:r>
          <w:r>
            <w:tab/>
          </w:r>
          <w:r>
            <w:fldChar w:fldCharType="begin"/>
          </w:r>
          <w:r>
            <w:instrText xml:space="preserve"> PAGEREF _Toc13925 \h </w:instrText>
          </w:r>
          <w:r>
            <w:fldChar w:fldCharType="separate"/>
          </w:r>
          <w:r>
            <w:t>12</w:t>
          </w:r>
          <w:r>
            <w:fldChar w:fldCharType="end"/>
          </w:r>
          <w:r>
            <w:rPr>
              <w:rFonts w:ascii="黑体" w:hAnsi="黑体" w:eastAsia="黑体" w:cs="Times New Roman"/>
              <w:szCs w:val="32"/>
            </w:rPr>
            <w:fldChar w:fldCharType="end"/>
          </w:r>
        </w:p>
        <w:p>
          <w:pPr>
            <w:pStyle w:val="7"/>
            <w:tabs>
              <w:tab w:val="right" w:leader="dot" w:pos="8306"/>
            </w:tabs>
          </w:pPr>
          <w:r>
            <w:rPr>
              <w:rFonts w:ascii="黑体" w:hAnsi="黑体" w:eastAsia="黑体" w:cs="Times New Roman"/>
              <w:szCs w:val="32"/>
            </w:rPr>
            <w:fldChar w:fldCharType="begin"/>
          </w:r>
          <w:r>
            <w:rPr>
              <w:rFonts w:ascii="黑体" w:hAnsi="黑体" w:eastAsia="黑体" w:cs="Times New Roman"/>
              <w:szCs w:val="32"/>
            </w:rPr>
            <w:instrText xml:space="preserve"> HYPERLINK \l _Toc13964 </w:instrText>
          </w:r>
          <w:r>
            <w:rPr>
              <w:rFonts w:ascii="黑体" w:hAnsi="黑体" w:eastAsia="黑体" w:cs="Times New Roman"/>
              <w:szCs w:val="32"/>
            </w:rPr>
            <w:fldChar w:fldCharType="separate"/>
          </w:r>
          <w:r>
            <w:rPr>
              <w:rFonts w:hint="eastAsia" w:ascii="楷体_GB2312" w:hAnsi="黑体" w:eastAsia="楷体_GB2312" w:cs="楷体_GB2312"/>
              <w:bCs/>
              <w:kern w:val="2"/>
              <w:szCs w:val="32"/>
            </w:rPr>
            <w:t>（三） 国有资产占有使用情况</w:t>
          </w:r>
          <w:r>
            <w:tab/>
          </w:r>
          <w:r>
            <w:fldChar w:fldCharType="begin"/>
          </w:r>
          <w:r>
            <w:instrText xml:space="preserve"> PAGEREF _Toc13964 \h </w:instrText>
          </w:r>
          <w:r>
            <w:fldChar w:fldCharType="separate"/>
          </w:r>
          <w:r>
            <w:t>12</w:t>
          </w:r>
          <w:r>
            <w:fldChar w:fldCharType="end"/>
          </w:r>
          <w:r>
            <w:rPr>
              <w:rFonts w:ascii="黑体" w:hAnsi="黑体" w:eastAsia="黑体" w:cs="Times New Roman"/>
              <w:szCs w:val="32"/>
            </w:rPr>
            <w:fldChar w:fldCharType="end"/>
          </w:r>
        </w:p>
        <w:p>
          <w:pPr>
            <w:pStyle w:val="7"/>
            <w:tabs>
              <w:tab w:val="right" w:leader="dot" w:pos="8306"/>
            </w:tabs>
          </w:pPr>
          <w:r>
            <w:rPr>
              <w:rFonts w:ascii="黑体" w:hAnsi="黑体" w:eastAsia="黑体" w:cs="Times New Roman"/>
              <w:szCs w:val="32"/>
            </w:rPr>
            <w:fldChar w:fldCharType="begin"/>
          </w:r>
          <w:r>
            <w:rPr>
              <w:rFonts w:ascii="黑体" w:hAnsi="黑体" w:eastAsia="黑体" w:cs="Times New Roman"/>
              <w:szCs w:val="32"/>
            </w:rPr>
            <w:instrText xml:space="preserve"> HYPERLINK \l _Toc11297 </w:instrText>
          </w:r>
          <w:r>
            <w:rPr>
              <w:rFonts w:ascii="黑体" w:hAnsi="黑体" w:eastAsia="黑体" w:cs="Times New Roman"/>
              <w:szCs w:val="32"/>
            </w:rPr>
            <w:fldChar w:fldCharType="separate"/>
          </w:r>
          <w:r>
            <w:rPr>
              <w:rFonts w:hint="eastAsia" w:ascii="楷体_GB2312" w:hAnsi="黑体" w:eastAsia="楷体_GB2312" w:cs="楷体_GB2312"/>
              <w:bCs/>
              <w:kern w:val="2"/>
              <w:szCs w:val="32"/>
            </w:rPr>
            <w:t>（四） 绩效目标设置情况</w:t>
          </w:r>
          <w:r>
            <w:tab/>
          </w:r>
          <w:r>
            <w:fldChar w:fldCharType="begin"/>
          </w:r>
          <w:r>
            <w:instrText xml:space="preserve"> PAGEREF _Toc11297 \h </w:instrText>
          </w:r>
          <w:r>
            <w:fldChar w:fldCharType="separate"/>
          </w:r>
          <w:r>
            <w:t>12</w:t>
          </w:r>
          <w:r>
            <w:fldChar w:fldCharType="end"/>
          </w:r>
          <w:r>
            <w:rPr>
              <w:rFonts w:ascii="黑体" w:hAnsi="黑体" w:eastAsia="黑体" w:cs="Times New Roman"/>
              <w:szCs w:val="32"/>
            </w:rPr>
            <w:fldChar w:fldCharType="end"/>
          </w:r>
        </w:p>
        <w:p>
          <w:pPr>
            <w:pStyle w:val="6"/>
            <w:tabs>
              <w:tab w:val="right" w:leader="dot" w:pos="8306"/>
            </w:tabs>
          </w:pPr>
          <w:r>
            <w:rPr>
              <w:rFonts w:ascii="黑体" w:hAnsi="黑体" w:eastAsia="黑体" w:cs="Times New Roman"/>
              <w:szCs w:val="32"/>
            </w:rPr>
            <w:fldChar w:fldCharType="begin"/>
          </w:r>
          <w:r>
            <w:rPr>
              <w:rFonts w:ascii="黑体" w:hAnsi="黑体" w:eastAsia="黑体" w:cs="Times New Roman"/>
              <w:szCs w:val="32"/>
            </w:rPr>
            <w:instrText xml:space="preserve"> HYPERLINK \l _Toc7092 </w:instrText>
          </w:r>
          <w:r>
            <w:rPr>
              <w:rFonts w:ascii="黑体" w:hAnsi="黑体" w:eastAsia="黑体" w:cs="Times New Roman"/>
              <w:szCs w:val="32"/>
            </w:rPr>
            <w:fldChar w:fldCharType="separate"/>
          </w:r>
          <w:r>
            <w:rPr>
              <w:rFonts w:hint="eastAsia" w:ascii="黑体" w:hAnsi="黑体" w:eastAsia="黑体" w:cs="黑体"/>
              <w:kern w:val="2"/>
              <w:szCs w:val="32"/>
            </w:rPr>
            <w:t>十、 名词解释</w:t>
          </w:r>
          <w:r>
            <w:tab/>
          </w:r>
          <w:r>
            <w:fldChar w:fldCharType="begin"/>
          </w:r>
          <w:r>
            <w:instrText xml:space="preserve"> PAGEREF _Toc7092 \h </w:instrText>
          </w:r>
          <w:r>
            <w:fldChar w:fldCharType="separate"/>
          </w:r>
          <w:r>
            <w:t>12</w:t>
          </w:r>
          <w:r>
            <w:fldChar w:fldCharType="end"/>
          </w:r>
          <w:r>
            <w:rPr>
              <w:rFonts w:ascii="黑体" w:hAnsi="黑体" w:eastAsia="黑体" w:cs="Times New Roman"/>
              <w:szCs w:val="32"/>
            </w:rPr>
            <w:fldChar w:fldCharType="end"/>
          </w:r>
        </w:p>
        <w:p>
          <w:pPr>
            <w:rPr>
              <w:rFonts w:ascii="黑体" w:hAnsi="黑体" w:eastAsia="黑体" w:cs="Times New Roman"/>
              <w:sz w:val="32"/>
              <w:szCs w:val="32"/>
            </w:rPr>
          </w:pPr>
          <w:r>
            <w:rPr>
              <w:rFonts w:ascii="黑体" w:hAnsi="黑体" w:eastAsia="黑体" w:cs="Times New Roman"/>
              <w:szCs w:val="32"/>
            </w:rPr>
            <w:fldChar w:fldCharType="end"/>
          </w:r>
        </w:p>
      </w:sdtContent>
    </w:sdt>
    <w:p>
      <w:r>
        <w:rPr>
          <w:rFonts w:ascii="??" w:hAnsi="??" w:cs="??"/>
          <w:kern w:val="0"/>
          <w:sz w:val="12"/>
          <w:szCs w:val="12"/>
        </w:rPr>
        <w:br w:type="page"/>
      </w:r>
    </w:p>
    <w:p>
      <w:pPr>
        <w:pStyle w:val="14"/>
        <w:numPr>
          <w:ilvl w:val="0"/>
          <w:numId w:val="1"/>
        </w:numPr>
        <w:spacing w:before="0" w:line="360" w:lineRule="auto"/>
        <w:ind w:firstLine="627" w:firstLineChars="196"/>
        <w:outlineLvl w:val="0"/>
        <w:rPr>
          <w:rFonts w:hint="eastAsia" w:ascii="楷体_GB2312" w:hAnsi="黑体" w:eastAsia="楷体_GB2312" w:cs="楷体_GB2312"/>
          <w:b/>
          <w:bCs/>
          <w:kern w:val="2"/>
          <w:sz w:val="32"/>
          <w:szCs w:val="32"/>
        </w:rPr>
      </w:pPr>
      <w:bookmarkStart w:id="0" w:name="_Toc1017"/>
      <w:r>
        <w:rPr>
          <w:rFonts w:hint="eastAsia" w:ascii="黑体" w:hAnsi="黑体" w:eastAsia="黑体" w:cs="黑体"/>
          <w:kern w:val="2"/>
          <w:sz w:val="32"/>
          <w:szCs w:val="32"/>
        </w:rPr>
        <w:t>基本职能及主要工作</w:t>
      </w:r>
      <w:bookmarkEnd w:id="0"/>
    </w:p>
    <w:p>
      <w:pPr>
        <w:pStyle w:val="14"/>
        <w:numPr>
          <w:ilvl w:val="0"/>
          <w:numId w:val="0"/>
        </w:numPr>
        <w:spacing w:before="0" w:line="360" w:lineRule="auto"/>
        <w:outlineLvl w:val="1"/>
        <w:rPr>
          <w:rFonts w:hint="eastAsia" w:ascii="楷体_GB2312" w:hAnsi="黑体" w:eastAsia="楷体_GB2312" w:cs="楷体_GB2312"/>
          <w:b/>
          <w:bCs/>
          <w:kern w:val="2"/>
          <w:sz w:val="32"/>
          <w:szCs w:val="32"/>
        </w:rPr>
      </w:pPr>
      <w:bookmarkStart w:id="1" w:name="_Toc3427"/>
      <w:r>
        <w:rPr>
          <w:rFonts w:hint="eastAsia" w:ascii="楷体_GB2312" w:hAnsi="黑体" w:eastAsia="楷体_GB2312" w:cs="楷体_GB2312"/>
          <w:b/>
          <w:bCs/>
          <w:kern w:val="2"/>
          <w:sz w:val="32"/>
          <w:szCs w:val="32"/>
        </w:rPr>
        <w:t>（一）</w:t>
      </w:r>
      <w:r>
        <w:rPr>
          <w:rFonts w:hint="eastAsia" w:ascii="楷体_GB2312" w:hAnsi="黑体" w:eastAsia="楷体_GB2312" w:cs="楷体_GB2312"/>
          <w:b/>
          <w:bCs/>
          <w:kern w:val="2"/>
          <w:sz w:val="32"/>
          <w:szCs w:val="32"/>
          <w:lang w:eastAsia="zh-CN"/>
        </w:rPr>
        <w:t>壤塘县人民检察院</w:t>
      </w:r>
      <w:r>
        <w:rPr>
          <w:rFonts w:hint="eastAsia" w:ascii="楷体_GB2312" w:hAnsi="黑体" w:eastAsia="楷体_GB2312" w:cs="楷体_GB2312"/>
          <w:b/>
          <w:bCs/>
          <w:kern w:val="2"/>
          <w:sz w:val="32"/>
          <w:szCs w:val="32"/>
        </w:rPr>
        <w:t>职能简介</w:t>
      </w:r>
      <w:bookmarkEnd w:id="1"/>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黑体" w:eastAsia="仿宋_GB2312" w:cs="仿宋_GB2312"/>
          <w:b w:val="0"/>
          <w:bCs w:val="0"/>
          <w:kern w:val="2"/>
          <w:sz w:val="32"/>
          <w:szCs w:val="32"/>
          <w:lang w:val="en-US" w:eastAsia="zh-CN" w:bidi="ar-SA"/>
        </w:rPr>
      </w:pPr>
      <w:r>
        <w:rPr>
          <w:rFonts w:hint="eastAsia" w:ascii="仿宋_GB2312" w:hAnsi="黑体" w:eastAsia="仿宋_GB2312" w:cs="仿宋_GB2312"/>
          <w:b w:val="0"/>
          <w:bCs w:val="0"/>
          <w:kern w:val="2"/>
          <w:sz w:val="32"/>
          <w:szCs w:val="32"/>
          <w:lang w:val="en-US" w:eastAsia="zh-CN" w:bidi="ar-SA"/>
        </w:rPr>
        <w:t>1.深入贯彻习近平新时代中国特色社会主义思想，深入贯彻党的路线方针政策和决策部署，统一检察队伍思想和行动，坚持党对检察工作的绝对领导，坚决维护习近平总书记的核心地位，坚决维护党中央权威和集中统一领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黑体" w:eastAsia="仿宋_GB2312" w:cs="仿宋_GB2312"/>
          <w:b w:val="0"/>
          <w:bCs w:val="0"/>
          <w:kern w:val="2"/>
          <w:sz w:val="32"/>
          <w:szCs w:val="32"/>
          <w:lang w:val="en-US" w:eastAsia="zh-CN" w:bidi="ar-SA"/>
        </w:rPr>
      </w:pPr>
      <w:r>
        <w:rPr>
          <w:rFonts w:hint="eastAsia" w:ascii="仿宋_GB2312" w:hAnsi="黑体" w:eastAsia="仿宋_GB2312" w:cs="仿宋_GB2312"/>
          <w:b w:val="0"/>
          <w:bCs w:val="0"/>
          <w:kern w:val="2"/>
          <w:sz w:val="32"/>
          <w:szCs w:val="32"/>
          <w:lang w:val="en-US" w:eastAsia="zh-CN" w:bidi="ar-SA"/>
        </w:rPr>
        <w:t>2.依法向壤塘县人民代表大会及其常务委员会提出议案。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黑体" w:eastAsia="仿宋_GB2312" w:cs="仿宋_GB2312"/>
          <w:b w:val="0"/>
          <w:bCs w:val="0"/>
          <w:kern w:val="2"/>
          <w:sz w:val="32"/>
          <w:szCs w:val="32"/>
          <w:lang w:val="en-US" w:eastAsia="zh-CN" w:bidi="ar-SA"/>
        </w:rPr>
      </w:pPr>
      <w:r>
        <w:rPr>
          <w:rFonts w:hint="eastAsia" w:ascii="仿宋_GB2312" w:hAnsi="黑体" w:eastAsia="仿宋_GB2312" w:cs="仿宋_GB2312"/>
          <w:b w:val="0"/>
          <w:bCs w:val="0"/>
          <w:kern w:val="2"/>
          <w:sz w:val="32"/>
          <w:szCs w:val="32"/>
          <w:lang w:val="en-US" w:eastAsia="zh-CN" w:bidi="ar-SA"/>
        </w:rPr>
        <w:t>3.按照上级检察机关确定的工作方针，研究制定壤塘县人民检察院检察工作规划，部署检察工作任务。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黑体" w:eastAsia="仿宋_GB2312" w:cs="仿宋_GB2312"/>
          <w:b w:val="0"/>
          <w:bCs w:val="0"/>
          <w:kern w:val="2"/>
          <w:sz w:val="32"/>
          <w:szCs w:val="32"/>
          <w:lang w:val="en-US" w:eastAsia="zh-CN" w:bidi="ar-SA"/>
        </w:rPr>
      </w:pPr>
      <w:r>
        <w:rPr>
          <w:rFonts w:hint="eastAsia" w:ascii="仿宋_GB2312" w:hAnsi="黑体" w:eastAsia="仿宋_GB2312" w:cs="仿宋_GB2312"/>
          <w:b w:val="0"/>
          <w:bCs w:val="0"/>
          <w:kern w:val="2"/>
          <w:sz w:val="32"/>
          <w:szCs w:val="32"/>
          <w:lang w:val="en-US" w:eastAsia="zh-CN" w:bidi="ar-SA"/>
        </w:rPr>
        <w:t>4.依照法律规定，对由壤塘县人民检察院直接受理的刑事案件行使侦查权。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105" w:beforeAutospacing="0" w:after="105" w:afterAutospacing="0" w:line="560" w:lineRule="exact"/>
        <w:ind w:left="0" w:right="0" w:firstLine="640" w:firstLineChars="200"/>
        <w:textAlignment w:val="auto"/>
        <w:rPr>
          <w:rFonts w:hint="eastAsia" w:ascii="仿宋_GB2312" w:hAnsi="黑体" w:eastAsia="仿宋_GB2312" w:cs="仿宋_GB2312"/>
          <w:b w:val="0"/>
          <w:bCs w:val="0"/>
          <w:kern w:val="2"/>
          <w:sz w:val="32"/>
          <w:szCs w:val="32"/>
          <w:lang w:val="en-US" w:eastAsia="zh-CN" w:bidi="ar-SA"/>
        </w:rPr>
      </w:pPr>
      <w:r>
        <w:rPr>
          <w:rFonts w:hint="eastAsia" w:ascii="仿宋_GB2312" w:hAnsi="黑体" w:eastAsia="仿宋_GB2312" w:cs="仿宋_GB2312"/>
          <w:b w:val="0"/>
          <w:bCs w:val="0"/>
          <w:kern w:val="2"/>
          <w:sz w:val="32"/>
          <w:szCs w:val="32"/>
          <w:lang w:val="en-US" w:eastAsia="zh-CN" w:bidi="ar-SA"/>
        </w:rPr>
        <w:t>5.对刑事案件依法审查批准逮捕、决定逮捕、提起公诉。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105" w:beforeAutospacing="0" w:after="105" w:afterAutospacing="0" w:line="560" w:lineRule="exact"/>
        <w:ind w:left="0" w:right="0" w:firstLine="640" w:firstLineChars="200"/>
        <w:textAlignment w:val="auto"/>
        <w:rPr>
          <w:rFonts w:hint="eastAsia" w:ascii="仿宋_GB2312" w:hAnsi="黑体" w:eastAsia="仿宋_GB2312" w:cs="仿宋_GB2312"/>
          <w:b w:val="0"/>
          <w:bCs w:val="0"/>
          <w:kern w:val="2"/>
          <w:sz w:val="32"/>
          <w:szCs w:val="32"/>
          <w:lang w:val="en-US" w:eastAsia="zh-CN" w:bidi="ar-SA"/>
        </w:rPr>
      </w:pPr>
      <w:r>
        <w:rPr>
          <w:rFonts w:hint="eastAsia" w:ascii="仿宋_GB2312" w:hAnsi="黑体" w:eastAsia="仿宋_GB2312" w:cs="仿宋_GB2312"/>
          <w:b w:val="0"/>
          <w:bCs w:val="0"/>
          <w:kern w:val="2"/>
          <w:sz w:val="32"/>
          <w:szCs w:val="32"/>
          <w:lang w:val="en-US" w:eastAsia="zh-CN" w:bidi="ar-SA"/>
        </w:rPr>
        <w:t>6.负责应由壤塘县人民检察院承办的刑事、民事、行政诉讼活动及刑事、民事、行政判决和裁定等生效法律文书执行的法律监督工作。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105" w:beforeAutospacing="0" w:after="105" w:afterAutospacing="0" w:line="560" w:lineRule="exact"/>
        <w:ind w:left="0" w:right="0" w:firstLine="640" w:firstLineChars="200"/>
        <w:textAlignment w:val="auto"/>
        <w:rPr>
          <w:rFonts w:hint="eastAsia" w:ascii="仿宋_GB2312" w:hAnsi="黑体" w:eastAsia="仿宋_GB2312" w:cs="仿宋_GB2312"/>
          <w:b w:val="0"/>
          <w:bCs w:val="0"/>
          <w:kern w:val="2"/>
          <w:sz w:val="32"/>
          <w:szCs w:val="32"/>
          <w:lang w:val="en-US" w:eastAsia="zh-CN" w:bidi="ar-SA"/>
        </w:rPr>
      </w:pPr>
      <w:r>
        <w:rPr>
          <w:rFonts w:hint="eastAsia" w:ascii="仿宋_GB2312" w:hAnsi="黑体" w:eastAsia="仿宋_GB2312" w:cs="仿宋_GB2312"/>
          <w:b w:val="0"/>
          <w:bCs w:val="0"/>
          <w:kern w:val="2"/>
          <w:sz w:val="32"/>
          <w:szCs w:val="32"/>
          <w:lang w:val="en-US" w:eastAsia="zh-CN" w:bidi="ar-SA"/>
        </w:rPr>
        <w:t>7.负责应由壤塘县人民检察院承办的提起公益诉讼工作。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105" w:beforeAutospacing="0" w:after="105" w:afterAutospacing="0" w:line="560" w:lineRule="exact"/>
        <w:ind w:left="0" w:right="0" w:firstLine="640" w:firstLineChars="200"/>
        <w:textAlignment w:val="auto"/>
        <w:rPr>
          <w:rFonts w:hint="eastAsia" w:ascii="仿宋_GB2312" w:hAnsi="黑体" w:eastAsia="仿宋_GB2312" w:cs="仿宋_GB2312"/>
          <w:b w:val="0"/>
          <w:bCs w:val="0"/>
          <w:kern w:val="2"/>
          <w:sz w:val="32"/>
          <w:szCs w:val="32"/>
          <w:lang w:val="en-US" w:eastAsia="zh-CN" w:bidi="ar-SA"/>
        </w:rPr>
      </w:pPr>
      <w:r>
        <w:rPr>
          <w:rFonts w:hint="eastAsia" w:ascii="仿宋_GB2312" w:hAnsi="黑体" w:eastAsia="仿宋_GB2312" w:cs="仿宋_GB2312"/>
          <w:b w:val="0"/>
          <w:bCs w:val="0"/>
          <w:kern w:val="2"/>
          <w:sz w:val="32"/>
          <w:szCs w:val="32"/>
          <w:lang w:val="en-US" w:eastAsia="zh-CN" w:bidi="ar-SA"/>
        </w:rPr>
        <w:t>8.负责应由壤塘县人民检察院承办的对监狱、看守所等执法活动的法律监督工作。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105" w:beforeAutospacing="0" w:after="105" w:afterAutospacing="0" w:line="560" w:lineRule="exact"/>
        <w:ind w:left="0" w:right="0" w:firstLine="640" w:firstLineChars="200"/>
        <w:textAlignment w:val="auto"/>
        <w:rPr>
          <w:rFonts w:hint="eastAsia" w:ascii="仿宋_GB2312" w:hAnsi="黑体" w:eastAsia="仿宋_GB2312" w:cs="仿宋_GB2312"/>
          <w:b w:val="0"/>
          <w:bCs w:val="0"/>
          <w:kern w:val="2"/>
          <w:sz w:val="32"/>
          <w:szCs w:val="32"/>
          <w:lang w:val="en-US" w:eastAsia="zh-CN" w:bidi="ar-SA"/>
        </w:rPr>
      </w:pPr>
      <w:r>
        <w:rPr>
          <w:rFonts w:hint="eastAsia" w:ascii="仿宋_GB2312" w:hAnsi="黑体" w:eastAsia="仿宋_GB2312" w:cs="仿宋_GB2312"/>
          <w:b w:val="0"/>
          <w:bCs w:val="0"/>
          <w:kern w:val="2"/>
          <w:sz w:val="32"/>
          <w:szCs w:val="32"/>
          <w:lang w:val="en-US" w:eastAsia="zh-CN" w:bidi="ar-SA"/>
        </w:rPr>
        <w:t>9.受理向壤塘县人民检察院的控告申诉。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105" w:beforeAutospacing="0" w:after="105" w:afterAutospacing="0" w:line="560" w:lineRule="exact"/>
        <w:ind w:left="0" w:right="0" w:firstLine="640" w:firstLineChars="200"/>
        <w:textAlignment w:val="auto"/>
        <w:rPr>
          <w:rFonts w:hint="eastAsia" w:ascii="仿宋_GB2312" w:hAnsi="黑体" w:eastAsia="仿宋_GB2312" w:cs="仿宋_GB2312"/>
          <w:b w:val="0"/>
          <w:bCs w:val="0"/>
          <w:kern w:val="2"/>
          <w:sz w:val="32"/>
          <w:szCs w:val="32"/>
          <w:lang w:val="en-US" w:eastAsia="zh-CN" w:bidi="ar-SA"/>
        </w:rPr>
      </w:pPr>
      <w:r>
        <w:rPr>
          <w:rFonts w:hint="eastAsia" w:ascii="仿宋_GB2312" w:hAnsi="黑体" w:eastAsia="仿宋_GB2312" w:cs="仿宋_GB2312"/>
          <w:b w:val="0"/>
          <w:bCs w:val="0"/>
          <w:kern w:val="2"/>
          <w:sz w:val="32"/>
          <w:szCs w:val="32"/>
          <w:lang w:val="en-US" w:eastAsia="zh-CN" w:bidi="ar-SA"/>
        </w:rPr>
        <w:t>10.开展检察机关的理论研究工作。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105" w:beforeAutospacing="0" w:after="105" w:afterAutospacing="0" w:line="560" w:lineRule="exact"/>
        <w:ind w:left="0" w:right="0" w:firstLine="640" w:firstLineChars="200"/>
        <w:textAlignment w:val="auto"/>
        <w:rPr>
          <w:rFonts w:hint="eastAsia" w:ascii="仿宋_GB2312" w:hAnsi="黑体" w:eastAsia="仿宋_GB2312" w:cs="仿宋_GB2312"/>
          <w:b w:val="0"/>
          <w:bCs w:val="0"/>
          <w:kern w:val="2"/>
          <w:sz w:val="32"/>
          <w:szCs w:val="32"/>
          <w:lang w:val="en-US" w:eastAsia="zh-CN" w:bidi="ar-SA"/>
        </w:rPr>
      </w:pPr>
      <w:r>
        <w:rPr>
          <w:rFonts w:hint="eastAsia" w:ascii="仿宋_GB2312" w:hAnsi="黑体" w:eastAsia="仿宋_GB2312" w:cs="仿宋_GB2312"/>
          <w:b w:val="0"/>
          <w:bCs w:val="0"/>
          <w:kern w:val="2"/>
          <w:sz w:val="32"/>
          <w:szCs w:val="32"/>
          <w:lang w:val="en-US" w:eastAsia="zh-CN" w:bidi="ar-SA"/>
        </w:rPr>
        <w:t>11.负责壤塘县人民检察院队伍建设和思想政治工作。依法管理检察官及其他检察人员的工作，协同地方主管部门管理人民检察院的机构设置及人员编制，制定相关人员管理办法，组织开展壤塘县人民检察院教育培训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105" w:beforeAutospacing="0" w:after="105" w:afterAutospacing="0" w:line="560" w:lineRule="exact"/>
        <w:ind w:left="0" w:right="0" w:firstLine="640" w:firstLineChars="200"/>
        <w:textAlignment w:val="auto"/>
        <w:rPr>
          <w:rFonts w:hint="eastAsia" w:ascii="仿宋_GB2312" w:hAnsi="黑体" w:eastAsia="仿宋_GB2312" w:cs="仿宋_GB2312"/>
          <w:b w:val="0"/>
          <w:bCs w:val="0"/>
          <w:kern w:val="2"/>
          <w:sz w:val="32"/>
          <w:szCs w:val="32"/>
          <w:lang w:val="en-US" w:eastAsia="zh-CN" w:bidi="ar-SA"/>
        </w:rPr>
      </w:pPr>
      <w:r>
        <w:rPr>
          <w:rFonts w:hint="eastAsia" w:ascii="仿宋_GB2312" w:hAnsi="黑体" w:eastAsia="仿宋_GB2312" w:cs="仿宋_GB2312"/>
          <w:b w:val="0"/>
          <w:bCs w:val="0"/>
          <w:kern w:val="2"/>
          <w:sz w:val="32"/>
          <w:szCs w:val="32"/>
          <w:lang w:val="en-US" w:eastAsia="zh-CN" w:bidi="ar-SA"/>
        </w:rPr>
        <w:t>12.协同地方党委主管部门管理和考核除检察长和其他领导班子成员以外的检察机关工作人员。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105" w:beforeAutospacing="0" w:after="105" w:afterAutospacing="0" w:line="560" w:lineRule="exact"/>
        <w:ind w:left="0" w:right="0" w:firstLine="640" w:firstLineChars="200"/>
        <w:textAlignment w:val="auto"/>
        <w:rPr>
          <w:rFonts w:hint="eastAsia" w:ascii="仿宋_GB2312" w:hAnsi="黑体" w:eastAsia="仿宋_GB2312" w:cs="仿宋_GB2312"/>
          <w:b w:val="0"/>
          <w:bCs w:val="0"/>
          <w:kern w:val="2"/>
          <w:sz w:val="32"/>
          <w:szCs w:val="32"/>
          <w:lang w:val="en-US" w:eastAsia="zh-CN" w:bidi="ar-SA"/>
        </w:rPr>
      </w:pPr>
      <w:r>
        <w:rPr>
          <w:rFonts w:hint="eastAsia" w:ascii="仿宋_GB2312" w:hAnsi="黑体" w:eastAsia="仿宋_GB2312" w:cs="仿宋_GB2312"/>
          <w:b w:val="0"/>
          <w:bCs w:val="0"/>
          <w:kern w:val="2"/>
          <w:sz w:val="32"/>
          <w:szCs w:val="32"/>
          <w:lang w:val="en-US" w:eastAsia="zh-CN" w:bidi="ar-SA"/>
        </w:rPr>
        <w:t>13.开展壤塘县人民检察院的检务督察工作。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105" w:beforeAutospacing="0" w:after="105" w:afterAutospacing="0" w:line="560" w:lineRule="exact"/>
        <w:ind w:left="0" w:right="0" w:firstLine="640" w:firstLineChars="200"/>
        <w:textAlignment w:val="auto"/>
        <w:rPr>
          <w:rFonts w:hint="eastAsia" w:ascii="仿宋_GB2312" w:hAnsi="黑体" w:eastAsia="仿宋_GB2312" w:cs="仿宋_GB2312"/>
          <w:b w:val="0"/>
          <w:bCs w:val="0"/>
          <w:kern w:val="2"/>
          <w:sz w:val="32"/>
          <w:szCs w:val="32"/>
          <w:lang w:val="en-US" w:eastAsia="zh-CN" w:bidi="ar-SA"/>
        </w:rPr>
      </w:pPr>
      <w:r>
        <w:rPr>
          <w:rFonts w:hint="eastAsia" w:ascii="仿宋_GB2312" w:hAnsi="黑体" w:eastAsia="仿宋_GB2312" w:cs="仿宋_GB2312"/>
          <w:b w:val="0"/>
          <w:bCs w:val="0"/>
          <w:kern w:val="2"/>
          <w:sz w:val="32"/>
          <w:szCs w:val="32"/>
          <w:lang w:val="en-US" w:eastAsia="zh-CN" w:bidi="ar-SA"/>
        </w:rPr>
        <w:t>14.开展壤塘县人民检察院的财务装备、检察技术信息工作。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105" w:beforeAutospacing="0" w:after="105" w:afterAutospacing="0" w:line="560" w:lineRule="exact"/>
        <w:ind w:left="0" w:right="0" w:firstLine="640" w:firstLineChars="200"/>
        <w:textAlignment w:val="auto"/>
        <w:rPr>
          <w:rFonts w:hint="eastAsia" w:ascii="仿宋_GB2312" w:hAnsi="黑体" w:eastAsia="仿宋_GB2312" w:cs="仿宋_GB2312"/>
          <w:b w:val="0"/>
          <w:bCs w:val="0"/>
          <w:kern w:val="2"/>
          <w:sz w:val="32"/>
          <w:szCs w:val="32"/>
          <w:lang w:val="en-US" w:eastAsia="zh-CN" w:bidi="ar-SA"/>
        </w:rPr>
      </w:pPr>
      <w:r>
        <w:rPr>
          <w:rFonts w:hint="eastAsia" w:ascii="仿宋_GB2312" w:hAnsi="黑体" w:eastAsia="仿宋_GB2312" w:cs="仿宋_GB2312"/>
          <w:b w:val="0"/>
          <w:bCs w:val="0"/>
          <w:kern w:val="2"/>
          <w:sz w:val="32"/>
          <w:szCs w:val="32"/>
          <w:lang w:val="en-US" w:eastAsia="zh-CN" w:bidi="ar-SA"/>
        </w:rPr>
        <w:t>15.负责其他应由壤塘县人民检察院承办的事项。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105" w:beforeAutospacing="0" w:after="105" w:afterAutospacing="0" w:line="30" w:lineRule="atLeast"/>
        <w:ind w:left="0" w:right="0" w:firstLine="420"/>
        <w:outlineLvl w:val="1"/>
        <w:rPr>
          <w:rFonts w:hint="eastAsia" w:ascii="楷体_GB2312" w:hAnsi="黑体" w:eastAsia="楷体_GB2312" w:cs="楷体_GB2312"/>
          <w:b/>
          <w:bCs/>
          <w:kern w:val="2"/>
          <w:sz w:val="32"/>
          <w:szCs w:val="32"/>
        </w:rPr>
      </w:pPr>
      <w:bookmarkStart w:id="2" w:name="_Toc16562"/>
      <w:r>
        <w:rPr>
          <w:rFonts w:hint="eastAsia" w:ascii="楷体_GB2312" w:hAnsi="黑体" w:eastAsia="楷体_GB2312" w:cs="楷体_GB2312"/>
          <w:b/>
          <w:bCs/>
          <w:kern w:val="2"/>
          <w:sz w:val="32"/>
          <w:szCs w:val="32"/>
        </w:rPr>
        <w:t>（二）</w:t>
      </w:r>
      <w:r>
        <w:rPr>
          <w:rFonts w:hint="eastAsia" w:ascii="楷体_GB2312" w:hAnsi="黑体" w:eastAsia="楷体_GB2312" w:cs="楷体_GB2312"/>
          <w:b/>
          <w:bCs/>
          <w:kern w:val="2"/>
          <w:sz w:val="32"/>
          <w:szCs w:val="32"/>
          <w:lang w:eastAsia="zh-CN"/>
        </w:rPr>
        <w:t>壤塘县人民检察院</w:t>
      </w:r>
      <w:r>
        <w:rPr>
          <w:rFonts w:ascii="楷体_GB2312" w:hAnsi="黑体" w:eastAsia="楷体_GB2312" w:cs="楷体_GB2312"/>
          <w:b/>
          <w:bCs/>
          <w:kern w:val="2"/>
          <w:sz w:val="32"/>
          <w:szCs w:val="32"/>
        </w:rPr>
        <w:t>20</w:t>
      </w:r>
      <w:r>
        <w:rPr>
          <w:rFonts w:hint="eastAsia" w:ascii="楷体_GB2312" w:hAnsi="黑体" w:eastAsia="楷体_GB2312" w:cs="楷体_GB2312"/>
          <w:b/>
          <w:bCs/>
          <w:kern w:val="2"/>
          <w:sz w:val="32"/>
          <w:szCs w:val="32"/>
        </w:rPr>
        <w:t>2</w:t>
      </w:r>
      <w:r>
        <w:rPr>
          <w:rFonts w:hint="eastAsia" w:ascii="楷体_GB2312" w:hAnsi="黑体" w:eastAsia="楷体_GB2312" w:cs="楷体_GB2312"/>
          <w:b/>
          <w:bCs/>
          <w:kern w:val="2"/>
          <w:sz w:val="32"/>
          <w:szCs w:val="32"/>
          <w:lang w:val="en-US" w:eastAsia="zh-CN"/>
        </w:rPr>
        <w:t>2</w:t>
      </w:r>
      <w:r>
        <w:rPr>
          <w:rFonts w:ascii="楷体_GB2312" w:hAnsi="黑体" w:eastAsia="楷体_GB2312" w:cs="楷体_GB2312"/>
          <w:b/>
          <w:bCs/>
          <w:kern w:val="2"/>
          <w:sz w:val="32"/>
          <w:szCs w:val="32"/>
        </w:rPr>
        <w:t>年</w:t>
      </w:r>
      <w:r>
        <w:rPr>
          <w:rFonts w:hint="eastAsia" w:ascii="楷体_GB2312" w:hAnsi="黑体" w:eastAsia="楷体_GB2312" w:cs="楷体_GB2312"/>
          <w:b/>
          <w:bCs/>
          <w:kern w:val="2"/>
          <w:sz w:val="32"/>
          <w:szCs w:val="32"/>
        </w:rPr>
        <w:t>重点工作</w:t>
      </w:r>
      <w:bookmarkEnd w:id="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黑体" w:eastAsia="仿宋_GB2312" w:cs="仿宋_GB2312"/>
          <w:b w:val="0"/>
          <w:bCs w:val="0"/>
          <w:kern w:val="2"/>
          <w:sz w:val="32"/>
          <w:szCs w:val="32"/>
          <w:lang w:val="en-US" w:eastAsia="zh-CN" w:bidi="ar-SA"/>
        </w:rPr>
      </w:pPr>
      <w:r>
        <w:rPr>
          <w:rFonts w:hint="eastAsia" w:ascii="仿宋_GB2312" w:hAnsi="黑体" w:eastAsia="仿宋_GB2312" w:cs="仿宋_GB2312"/>
          <w:b w:val="0"/>
          <w:bCs w:val="0"/>
          <w:kern w:val="2"/>
          <w:sz w:val="32"/>
          <w:szCs w:val="32"/>
          <w:lang w:val="en-US" w:eastAsia="zh-CN" w:bidi="ar-SA"/>
        </w:rPr>
        <w:t>2022年，我院将以效能建设为重点，全面落实《中共中央关于加强新时代检察机关法律监督工作的意见》的部署要求，牢固树立“一家人、一条心、一盘棋、一起拼”理念，坚持“1396”工作思路，聚焦为大局服务、为人民司法，全面协调充分履行法律监督职能，切实维护司法公正，力争在2022年脱掉“相对薄弱基层院”帽子，在2023年迈入全州先进行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黑体" w:eastAsia="仿宋_GB2312" w:cs="仿宋_GB2312"/>
          <w:b w:val="0"/>
          <w:bCs w:val="0"/>
          <w:kern w:val="2"/>
          <w:sz w:val="32"/>
          <w:szCs w:val="32"/>
          <w:lang w:val="en-US" w:eastAsia="zh-CN" w:bidi="ar-SA"/>
        </w:rPr>
      </w:pPr>
      <w:r>
        <w:rPr>
          <w:rFonts w:hint="eastAsia" w:ascii="仿宋_GB2312" w:hAnsi="黑体" w:eastAsia="仿宋_GB2312" w:cs="仿宋_GB2312"/>
          <w:b w:val="0"/>
          <w:bCs w:val="0"/>
          <w:kern w:val="2"/>
          <w:sz w:val="32"/>
          <w:szCs w:val="32"/>
          <w:lang w:val="en-US" w:eastAsia="zh-CN" w:bidi="ar-SA"/>
        </w:rPr>
        <w:t>（一）综合用好检察职能，服务保障“155”发展战略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黑体" w:eastAsia="仿宋_GB2312" w:cs="仿宋_GB2312"/>
          <w:b w:val="0"/>
          <w:bCs w:val="0"/>
          <w:kern w:val="2"/>
          <w:sz w:val="32"/>
          <w:szCs w:val="32"/>
          <w:lang w:val="en-US" w:eastAsia="zh-CN" w:bidi="ar-SA"/>
        </w:rPr>
      </w:pPr>
      <w:r>
        <w:rPr>
          <w:rFonts w:hint="eastAsia" w:ascii="仿宋_GB2312" w:hAnsi="黑体" w:eastAsia="仿宋_GB2312" w:cs="仿宋_GB2312"/>
          <w:b w:val="0"/>
          <w:bCs w:val="0"/>
          <w:kern w:val="2"/>
          <w:sz w:val="32"/>
          <w:szCs w:val="32"/>
          <w:lang w:val="en-US" w:eastAsia="zh-CN" w:bidi="ar-SA"/>
        </w:rPr>
        <w:t>积极推进基层治理。把抓好办案作为检察机关参与社会治理最直接、最根本的途径，始终保持对影响人民群众生命财产安全的多发性犯罪的高压态势和打击力度，重点打击涉枪涉爆、偷牛盗马、故意伤害、聚众斗殴等突出违法犯罪。建立健全风险预警和分类处置机制，提高突发公共事件的司法应对水平，对涉嫌犯罪的坚决严厉打击。落实宽严相济的刑事司法政策和认罪认罚从宽制度，将天理、国法、人情贯穿于案件处理全过程，办好群众身边每一起“小案”。结合办案分析社会综合治理短板，通过制发检察建议、综合报告等方式推动社会治安防控体系的完善。坚持将促成矛盾实质性化解、社会关系修复作为更高公正标准，依托“12309”检察服务平台，依法灵活适用诉讼外和解、司法救助等手段，实现案结事了。实质化办好控告申诉案件，切实解决信访积案和群众合法诉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黑体" w:eastAsia="仿宋_GB2312" w:cs="仿宋_GB2312"/>
          <w:b w:val="0"/>
          <w:bCs w:val="0"/>
          <w:kern w:val="2"/>
          <w:sz w:val="32"/>
          <w:szCs w:val="32"/>
          <w:lang w:val="en-US" w:eastAsia="zh-CN" w:bidi="ar-SA"/>
        </w:rPr>
      </w:pPr>
      <w:r>
        <w:rPr>
          <w:rFonts w:hint="eastAsia" w:ascii="仿宋_GB2312" w:hAnsi="黑体" w:eastAsia="仿宋_GB2312" w:cs="仿宋_GB2312"/>
          <w:b w:val="0"/>
          <w:bCs w:val="0"/>
          <w:kern w:val="2"/>
          <w:sz w:val="32"/>
          <w:szCs w:val="32"/>
          <w:lang w:val="en-US" w:eastAsia="zh-CN" w:bidi="ar-SA"/>
        </w:rPr>
        <w:t>依法强化生态保护。严厉打击盗伐林木等破坏生态资源犯罪，坚决纠正有案不立、有罪不究、以罚代刑、降格处理等问题。推进跨区域跨部门协作，落实“河湖长+检察长+警长”协作机制，强化杜柯河、则曲河流域司法保护，推动和服务“十年禁渔计划”，形成保护合力。完善内部线索移送和协调处理机制，全面加强生态环境案件公益诉讼、刑事、民事、行政检察的有效衔接。探索建立生态环境修复补偿与认罪认罚从宽制度衔接机制，在惩治犯罪的同时，积极督促修复生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黑体" w:eastAsia="仿宋_GB2312" w:cs="仿宋_GB2312"/>
          <w:b w:val="0"/>
          <w:bCs w:val="0"/>
          <w:kern w:val="2"/>
          <w:sz w:val="32"/>
          <w:szCs w:val="32"/>
          <w:lang w:val="en-US" w:eastAsia="zh-CN" w:bidi="ar-SA"/>
        </w:rPr>
      </w:pPr>
      <w:r>
        <w:rPr>
          <w:rFonts w:hint="eastAsia" w:ascii="仿宋_GB2312" w:hAnsi="黑体" w:eastAsia="仿宋_GB2312" w:cs="仿宋_GB2312"/>
          <w:b w:val="0"/>
          <w:bCs w:val="0"/>
          <w:kern w:val="2"/>
          <w:sz w:val="32"/>
          <w:szCs w:val="32"/>
          <w:lang w:val="en-US" w:eastAsia="zh-CN" w:bidi="ar-SA"/>
        </w:rPr>
        <w:t>努力服务乡村振兴。精准把握服务保障乡村振兴战略实施的思路目标，全面协调充分履行刑事、民事、行政和公益诉讼检察职能，综合运用打击、预防、监督、教育、保护等手段，全力推动“六新”工程建设。认真分析和总结涉农刑事案件的发案规律和特点，从速从快、保质保量办理好涉农案件。妥善处理因邻里纠纷和家庭矛盾引发的轻微刑事案件，维护农村社会和谐稳定。积极运用司法调解手段，促成当事人息诉和解，防止矛盾激化。全力服务乡村绿水青山建设，对农村生态环境和资源领域受到侵害的案件及时提起公益诉讼。结合检察职能，开展形式多样的“送法下乡”和“送法进村”活动，提高农牧民守法和维权意识，为乡村振兴营造良好的法治环境。持续开展好“两联一进”活动，从基础设施建设、产业发展等方面加大帮扶力度，扎实做好帮扶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黑体" w:eastAsia="仿宋_GB2312" w:cs="仿宋_GB2312"/>
          <w:b w:val="0"/>
          <w:bCs w:val="0"/>
          <w:kern w:val="2"/>
          <w:sz w:val="32"/>
          <w:szCs w:val="32"/>
          <w:lang w:val="en-US" w:eastAsia="zh-CN" w:bidi="ar-SA"/>
        </w:rPr>
      </w:pPr>
      <w:r>
        <w:rPr>
          <w:rFonts w:hint="eastAsia" w:ascii="仿宋_GB2312" w:hAnsi="黑体" w:eastAsia="仿宋_GB2312" w:cs="仿宋_GB2312"/>
          <w:b w:val="0"/>
          <w:bCs w:val="0"/>
          <w:kern w:val="2"/>
          <w:sz w:val="32"/>
          <w:szCs w:val="32"/>
          <w:lang w:val="en-US" w:eastAsia="zh-CN" w:bidi="ar-SA"/>
        </w:rPr>
        <w:t>（二）充分发挥监督职能，推进“四大检察”平衡发展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黑体" w:eastAsia="仿宋_GB2312" w:cs="仿宋_GB2312"/>
          <w:b w:val="0"/>
          <w:bCs w:val="0"/>
          <w:kern w:val="2"/>
          <w:sz w:val="32"/>
          <w:szCs w:val="32"/>
          <w:lang w:val="en-US" w:eastAsia="zh-CN" w:bidi="ar-SA"/>
        </w:rPr>
      </w:pPr>
      <w:r>
        <w:rPr>
          <w:rFonts w:hint="eastAsia" w:ascii="仿宋_GB2312" w:hAnsi="黑体" w:eastAsia="仿宋_GB2312" w:cs="仿宋_GB2312"/>
          <w:b w:val="0"/>
          <w:bCs w:val="0"/>
          <w:kern w:val="2"/>
          <w:sz w:val="32"/>
          <w:szCs w:val="32"/>
          <w:lang w:val="en-US" w:eastAsia="zh-CN" w:bidi="ar-SA"/>
        </w:rPr>
        <w:t>做优刑事检察。以降低“案-件比”为目标，加强侦查引导、案件审查，逐步降低案件退查率，提高办案效率。建立健全侦查机关办理重大、疑难案件听取意见建议机制，提高引导侦查取证质量；推进认罪认罚从宽制度深化适用，提高精准量刑和量刑协商能力。全面贯彻“少捕慎诉慎押”司法政策，建立健全羁押必要性审查机制，推行不起诉案件公开审查和公开宣告。抓实刑事执行监督，克服不愿监督、不会监督和形式监督等问题，保障被羁押人员的合法权益。推动行政执法和刑事司法无缝对接，优化“行刑衔接”平台，推进案件双向移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黑体" w:eastAsia="仿宋_GB2312" w:cs="仿宋_GB2312"/>
          <w:b w:val="0"/>
          <w:bCs w:val="0"/>
          <w:kern w:val="2"/>
          <w:sz w:val="32"/>
          <w:szCs w:val="32"/>
          <w:lang w:val="en-US" w:eastAsia="zh-CN" w:bidi="ar-SA"/>
        </w:rPr>
      </w:pPr>
      <w:r>
        <w:rPr>
          <w:rFonts w:hint="eastAsia" w:ascii="仿宋_GB2312" w:hAnsi="黑体" w:eastAsia="仿宋_GB2312" w:cs="仿宋_GB2312"/>
          <w:b w:val="0"/>
          <w:bCs w:val="0"/>
          <w:kern w:val="2"/>
          <w:sz w:val="32"/>
          <w:szCs w:val="32"/>
          <w:lang w:val="en-US" w:eastAsia="zh-CN" w:bidi="ar-SA"/>
        </w:rPr>
        <w:t>做强民事检察。努力拓展民事检察的广度和深度，聚焦民间借贷、劳动争议纠纷等重点领域，大力开展虚假诉讼领域违法行为监督专项活动。充分发挥支持起诉职能，加强对农民工等特殊群体维权支持起诉力度。综合运行民事检察职能，精确服务民营企业发展，推动涉民营经济民事案件和解工作，保障民营企业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黑体" w:eastAsia="仿宋_GB2312" w:cs="仿宋_GB2312"/>
          <w:b w:val="0"/>
          <w:bCs w:val="0"/>
          <w:kern w:val="2"/>
          <w:sz w:val="32"/>
          <w:szCs w:val="32"/>
          <w:lang w:val="en-US" w:eastAsia="zh-CN" w:bidi="ar-SA"/>
        </w:rPr>
      </w:pPr>
      <w:r>
        <w:rPr>
          <w:rFonts w:hint="eastAsia" w:ascii="仿宋_GB2312" w:hAnsi="黑体" w:eastAsia="仿宋_GB2312" w:cs="仿宋_GB2312"/>
          <w:b w:val="0"/>
          <w:bCs w:val="0"/>
          <w:kern w:val="2"/>
          <w:sz w:val="32"/>
          <w:szCs w:val="32"/>
          <w:lang w:val="en-US" w:eastAsia="zh-CN" w:bidi="ar-SA"/>
        </w:rPr>
        <w:t>做实行政检察。找准行政检察工作的切入点，综合运用抗诉、检察建议等方式，精准监督行政诉讼活动、行政执行活动等方面问题。开展行政行为合法性的审查和监督，推动解决依法行政和社会层面的共性问题。常态化开展行政争议实质性化解，主动探索参与调解或行政复议阶段的行政争议化解工作，推动诉源治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黑体" w:eastAsia="仿宋_GB2312" w:cs="仿宋_GB2312"/>
          <w:b w:val="0"/>
          <w:bCs w:val="0"/>
          <w:kern w:val="2"/>
          <w:sz w:val="32"/>
          <w:szCs w:val="32"/>
          <w:lang w:val="en-US" w:eastAsia="zh-CN" w:bidi="ar-SA"/>
        </w:rPr>
      </w:pPr>
      <w:r>
        <w:rPr>
          <w:rFonts w:hint="eastAsia" w:ascii="仿宋_GB2312" w:hAnsi="黑体" w:eastAsia="仿宋_GB2312" w:cs="仿宋_GB2312"/>
          <w:b w:val="0"/>
          <w:bCs w:val="0"/>
          <w:kern w:val="2"/>
          <w:sz w:val="32"/>
          <w:szCs w:val="32"/>
          <w:lang w:val="en-US" w:eastAsia="zh-CN" w:bidi="ar-SA"/>
        </w:rPr>
        <w:t xml:space="preserve">做好公益诉讼检察。聚焦人民群众关注度高，公共利益损害大的问题，更加注重生态环境、食品药品安全的保护，持续抓紧抓实抓出成效。健全完善公益诉讼检察配套工作制度，加强与行政执法机关信息共享，有效拓展案件线索收集渠道。常态化开展公益诉讼“回头看”，对发出的检察建议进行全面梳理排查，努力让每一份检察建议“落地有声”，件件有回应、件件出成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黑体" w:eastAsia="仿宋_GB2312" w:cs="仿宋_GB2312"/>
          <w:b w:val="0"/>
          <w:bCs w:val="0"/>
          <w:kern w:val="2"/>
          <w:sz w:val="32"/>
          <w:szCs w:val="32"/>
          <w:lang w:val="en-US" w:eastAsia="zh-CN" w:bidi="ar-SA"/>
        </w:rPr>
      </w:pPr>
      <w:r>
        <w:rPr>
          <w:rFonts w:hint="eastAsia" w:ascii="仿宋_GB2312" w:hAnsi="黑体" w:eastAsia="仿宋_GB2312" w:cs="仿宋_GB2312"/>
          <w:b w:val="0"/>
          <w:bCs w:val="0"/>
          <w:kern w:val="2"/>
          <w:sz w:val="32"/>
          <w:szCs w:val="32"/>
          <w:lang w:val="en-US" w:eastAsia="zh-CN" w:bidi="ar-SA"/>
        </w:rPr>
        <w:t xml:space="preserve">（三）不断提升能力素质，全力打造“五个过硬”队伍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黑体" w:eastAsia="仿宋_GB2312" w:cs="仿宋_GB2312"/>
          <w:b w:val="0"/>
          <w:bCs w:val="0"/>
          <w:kern w:val="2"/>
          <w:sz w:val="32"/>
          <w:szCs w:val="32"/>
          <w:lang w:val="en-US" w:eastAsia="zh-CN" w:bidi="ar-SA"/>
        </w:rPr>
      </w:pPr>
      <w:r>
        <w:rPr>
          <w:rFonts w:hint="eastAsia" w:ascii="仿宋_GB2312" w:hAnsi="黑体" w:eastAsia="仿宋_GB2312" w:cs="仿宋_GB2312"/>
          <w:b w:val="0"/>
          <w:bCs w:val="0"/>
          <w:kern w:val="2"/>
          <w:sz w:val="32"/>
          <w:szCs w:val="32"/>
          <w:lang w:val="en-US" w:eastAsia="zh-CN" w:bidi="ar-SA"/>
        </w:rPr>
        <w:t>加强政治思想建设。坚持从把握新发展阶段、贯彻新发展理念、构建新发展格局的实际出发，切实把习近平法治思想融会贯通到检察工作的每一个环节。严格落实意识形态工作责任制。压实主体责任，加强有效监管。加强民族团结进步教育，深化民族团结进步创建，切实筑牢中华民族共同体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黑体" w:eastAsia="仿宋_GB2312" w:cs="仿宋_GB2312"/>
          <w:b w:val="0"/>
          <w:bCs w:val="0"/>
          <w:kern w:val="2"/>
          <w:sz w:val="32"/>
          <w:szCs w:val="32"/>
          <w:lang w:val="en-US" w:eastAsia="zh-CN" w:bidi="ar-SA"/>
        </w:rPr>
      </w:pPr>
      <w:r>
        <w:rPr>
          <w:rFonts w:hint="eastAsia" w:ascii="仿宋_GB2312" w:hAnsi="黑体" w:eastAsia="仿宋_GB2312" w:cs="仿宋_GB2312"/>
          <w:b w:val="0"/>
          <w:bCs w:val="0"/>
          <w:kern w:val="2"/>
          <w:sz w:val="32"/>
          <w:szCs w:val="32"/>
          <w:lang w:val="en-US" w:eastAsia="zh-CN" w:bidi="ar-SA"/>
        </w:rPr>
        <w:t>加强履职能力建设。进一步优化班子队伍结构，激发队伍活力。坚持不懈抓好执法规范化建设，注重解决“本领恐慌”和培养“工匠精神”。坚持以“检察夜校”为平台，积极创新培训方式，通过网络学习、专家授课、案例分析、案件辩论等方式，多措并举狠抓业务知识培训。加强检察人才培养，为青年干警量身制定培养清单、提供平台、搭建阶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黑体" w:eastAsia="仿宋_GB2312" w:cs="仿宋_GB2312"/>
          <w:b w:val="0"/>
          <w:bCs w:val="0"/>
          <w:kern w:val="2"/>
          <w:sz w:val="32"/>
          <w:szCs w:val="32"/>
          <w:lang w:val="en-US" w:eastAsia="zh-CN" w:bidi="ar-SA"/>
        </w:rPr>
      </w:pPr>
      <w:r>
        <w:rPr>
          <w:rFonts w:hint="eastAsia" w:ascii="仿宋_GB2312" w:hAnsi="黑体" w:eastAsia="仿宋_GB2312" w:cs="仿宋_GB2312"/>
          <w:b w:val="0"/>
          <w:bCs w:val="0"/>
          <w:kern w:val="2"/>
          <w:sz w:val="32"/>
          <w:szCs w:val="32"/>
          <w:lang w:val="en-US" w:eastAsia="zh-CN" w:bidi="ar-SA"/>
        </w:rPr>
        <w:t>加强纪律作风建设。坚定不移落实全面从严治党治检主体责任，强化履行党风廉政建设“一岗双责”意识，切实把纪律和规矩挺在前面。持续抓好“三个规定”落实，加强对司法办案的同步监督。严格执行《壤塘县人民检察院行为禁令》，加强干警八小时外监管。落实群众工作十项机制，试点推行积分制考核，激发干警工作积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黑体" w:eastAsia="仿宋_GB2312" w:cs="仿宋_GB2312"/>
          <w:b w:val="0"/>
          <w:bCs w:val="0"/>
          <w:kern w:val="2"/>
          <w:sz w:val="32"/>
          <w:szCs w:val="32"/>
          <w:lang w:val="en-US" w:eastAsia="zh-CN" w:bidi="ar-SA"/>
        </w:rPr>
      </w:pPr>
      <w:r>
        <w:rPr>
          <w:rFonts w:hint="eastAsia" w:ascii="仿宋_GB2312" w:hAnsi="黑体" w:eastAsia="仿宋_GB2312" w:cs="仿宋_GB2312"/>
          <w:b w:val="0"/>
          <w:bCs w:val="0"/>
          <w:kern w:val="2"/>
          <w:sz w:val="32"/>
          <w:szCs w:val="32"/>
          <w:lang w:val="en-US" w:eastAsia="zh-CN" w:bidi="ar-SA"/>
        </w:rPr>
        <w:t>（四）切实加强检务保障，积极推进“智慧检察”建设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黑体" w:eastAsia="仿宋_GB2312" w:cs="仿宋_GB2312"/>
          <w:b w:val="0"/>
          <w:bCs w:val="0"/>
          <w:kern w:val="2"/>
          <w:sz w:val="32"/>
          <w:szCs w:val="32"/>
          <w:lang w:val="en-US" w:eastAsia="zh-CN" w:bidi="ar-SA"/>
        </w:rPr>
      </w:pPr>
      <w:r>
        <w:rPr>
          <w:rFonts w:hint="eastAsia" w:ascii="仿宋_GB2312" w:hAnsi="黑体" w:eastAsia="仿宋_GB2312" w:cs="仿宋_GB2312"/>
          <w:b w:val="0"/>
          <w:bCs w:val="0"/>
          <w:kern w:val="2"/>
          <w:sz w:val="32"/>
          <w:szCs w:val="32"/>
          <w:lang w:val="en-US" w:eastAsia="zh-CN" w:bidi="ar-SA"/>
        </w:rPr>
        <w:t>深入推进智慧检务建设。全面运行统一业务应用系统，实现所有办案信息网上录入、办案流程网上管理、办案活动网上监督、办案数据网上生成。全面推行公文网上流转OA系统，力争实现无纸化办公。持续推进官方网站和“两微一端”的深度运用，构建多元化多层次传播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楷体_GB2312" w:hAnsi="黑体" w:eastAsia="楷体_GB2312" w:cs="楷体_GB2312"/>
          <w:b/>
          <w:bCs/>
          <w:kern w:val="2"/>
          <w:sz w:val="32"/>
          <w:szCs w:val="32"/>
        </w:rPr>
      </w:pPr>
      <w:r>
        <w:rPr>
          <w:rFonts w:hint="eastAsia" w:ascii="仿宋_GB2312" w:hAnsi="黑体" w:eastAsia="仿宋_GB2312" w:cs="仿宋_GB2312"/>
          <w:b w:val="0"/>
          <w:bCs w:val="0"/>
          <w:kern w:val="2"/>
          <w:sz w:val="32"/>
          <w:szCs w:val="32"/>
          <w:lang w:val="en-US" w:eastAsia="zh-CN" w:bidi="ar-SA"/>
        </w:rPr>
        <w:t>深入推进信息化建设。积极争取上级院支持，加快检察通讯设备、视频会议设备、信息网络设备的改造升级。加快“12309”检察服务中心改造，为群众提供更方便更快捷服务。</w:t>
      </w:r>
    </w:p>
    <w:p>
      <w:pPr>
        <w:pStyle w:val="14"/>
        <w:keepNext w:val="0"/>
        <w:keepLines w:val="0"/>
        <w:pageBreakBefore w:val="0"/>
        <w:widowControl w:val="0"/>
        <w:numPr>
          <w:ilvl w:val="0"/>
          <w:numId w:val="1"/>
        </w:numPr>
        <w:kinsoku/>
        <w:wordWrap/>
        <w:overflowPunct/>
        <w:topLinePunct w:val="0"/>
        <w:autoSpaceDE/>
        <w:autoSpaceDN/>
        <w:bidi w:val="0"/>
        <w:adjustRightInd/>
        <w:snapToGrid/>
        <w:spacing w:before="0" w:line="560" w:lineRule="exact"/>
        <w:ind w:left="0" w:leftChars="0" w:firstLine="627" w:firstLineChars="196"/>
        <w:textAlignment w:val="auto"/>
        <w:outlineLvl w:val="0"/>
        <w:rPr>
          <w:rFonts w:hint="eastAsia" w:ascii="黑体" w:hAnsi="黑体" w:eastAsia="黑体" w:cs="黑体"/>
          <w:kern w:val="2"/>
          <w:sz w:val="32"/>
          <w:szCs w:val="32"/>
        </w:rPr>
      </w:pPr>
      <w:bookmarkStart w:id="3" w:name="_Toc19284"/>
      <w:r>
        <w:rPr>
          <w:rFonts w:hint="eastAsia" w:ascii="黑体" w:hAnsi="黑体" w:eastAsia="黑体" w:cs="黑体"/>
          <w:kern w:val="2"/>
          <w:sz w:val="32"/>
          <w:szCs w:val="32"/>
        </w:rPr>
        <w:t>部门预算单位构成</w:t>
      </w:r>
      <w:bookmarkEnd w:id="3"/>
    </w:p>
    <w:p>
      <w:pPr>
        <w:pStyle w:val="14"/>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Chars="196"/>
        <w:textAlignment w:val="auto"/>
        <w:outlineLvl w:val="9"/>
        <w:rPr>
          <w:rFonts w:hint="eastAsia" w:ascii="仿宋_GB2312" w:hAnsi="黑体" w:eastAsia="仿宋_GB2312" w:cs="仿宋_GB2312"/>
          <w:b w:val="0"/>
          <w:bCs w:val="0"/>
          <w:kern w:val="2"/>
          <w:sz w:val="32"/>
          <w:szCs w:val="32"/>
          <w:lang w:val="en-US" w:eastAsia="zh-CN" w:bidi="ar-SA"/>
        </w:rPr>
      </w:pPr>
      <w:r>
        <w:rPr>
          <w:rFonts w:hint="eastAsia" w:ascii="仿宋_GB2312" w:hAnsi="黑体" w:eastAsia="仿宋_GB2312" w:cs="仿宋_GB2312"/>
          <w:b w:val="0"/>
          <w:bCs w:val="0"/>
          <w:kern w:val="2"/>
          <w:sz w:val="32"/>
          <w:szCs w:val="32"/>
          <w:lang w:val="en-US" w:eastAsia="zh-CN" w:bidi="ar-SA"/>
        </w:rPr>
        <w:t>壤塘县人民检察院属一级单位，无下属二级预算单位。</w:t>
      </w:r>
    </w:p>
    <w:p>
      <w:pPr>
        <w:pStyle w:val="14"/>
        <w:spacing w:before="0" w:line="360" w:lineRule="auto"/>
        <w:ind w:firstLine="627" w:firstLineChars="196"/>
        <w:outlineLvl w:val="0"/>
        <w:rPr>
          <w:rFonts w:hAnsi="黑体"/>
          <w:kern w:val="2"/>
          <w:sz w:val="32"/>
          <w:szCs w:val="32"/>
        </w:rPr>
      </w:pPr>
      <w:bookmarkStart w:id="4" w:name="_Toc17456"/>
      <w:r>
        <w:rPr>
          <w:rFonts w:hint="eastAsia" w:ascii="黑体" w:hAnsi="黑体" w:eastAsia="黑体" w:cs="黑体"/>
          <w:kern w:val="2"/>
          <w:sz w:val="32"/>
          <w:szCs w:val="32"/>
        </w:rPr>
        <w:t>三、收支预算情况说明</w:t>
      </w:r>
      <w:bookmarkEnd w:id="4"/>
    </w:p>
    <w:p>
      <w:pPr>
        <w:pStyle w:val="14"/>
        <w:keepNext w:val="0"/>
        <w:keepLines w:val="0"/>
        <w:pageBreakBefore w:val="0"/>
        <w:widowControl w:val="0"/>
        <w:kinsoku/>
        <w:wordWrap/>
        <w:overflowPunct/>
        <w:topLinePunct w:val="0"/>
        <w:autoSpaceDE/>
        <w:autoSpaceDN/>
        <w:bidi w:val="0"/>
        <w:adjustRightInd/>
        <w:snapToGrid/>
        <w:spacing w:before="0" w:line="560" w:lineRule="exact"/>
        <w:ind w:firstLine="640" w:firstLineChars="200"/>
        <w:textAlignment w:val="auto"/>
        <w:rPr>
          <w:rFonts w:hint="eastAsia" w:hAnsi="黑体"/>
          <w:kern w:val="2"/>
          <w:sz w:val="32"/>
          <w:szCs w:val="32"/>
        </w:rPr>
      </w:pPr>
      <w:r>
        <w:rPr>
          <w:rFonts w:hint="eastAsia" w:hAnsi="黑体"/>
          <w:kern w:val="2"/>
          <w:sz w:val="32"/>
          <w:szCs w:val="32"/>
        </w:rPr>
        <w:t>按照综合预算的原则，壤塘县人民检察院所有收入和支出均纳入部门预算管理。收入包括：一般公共预算拨款收入</w:t>
      </w:r>
      <w:r>
        <w:rPr>
          <w:rFonts w:hint="eastAsia" w:hAnsi="黑体"/>
          <w:kern w:val="2"/>
          <w:sz w:val="32"/>
          <w:szCs w:val="32"/>
          <w:lang w:val="en-US" w:eastAsia="zh-CN"/>
        </w:rPr>
        <w:t>472.94</w:t>
      </w:r>
      <w:r>
        <w:rPr>
          <w:rFonts w:hint="eastAsia" w:hAnsi="黑体"/>
          <w:kern w:val="2"/>
          <w:sz w:val="32"/>
          <w:szCs w:val="32"/>
        </w:rPr>
        <w:t>万元，事业收入0万元，其他收入0万元，上年结转0万元；支出包括：公共安全支出</w:t>
      </w:r>
      <w:r>
        <w:rPr>
          <w:rFonts w:hint="eastAsia" w:hAnsi="黑体"/>
          <w:kern w:val="2"/>
          <w:sz w:val="32"/>
          <w:szCs w:val="32"/>
          <w:lang w:val="en-US" w:eastAsia="zh-CN"/>
        </w:rPr>
        <w:t>348.00</w:t>
      </w:r>
      <w:r>
        <w:rPr>
          <w:rFonts w:hint="eastAsia" w:hAnsi="黑体"/>
          <w:kern w:val="2"/>
          <w:sz w:val="32"/>
          <w:szCs w:val="32"/>
        </w:rPr>
        <w:t>万元，社会保障和就业支出</w:t>
      </w:r>
      <w:r>
        <w:rPr>
          <w:rFonts w:hint="eastAsia" w:hAnsi="黑体"/>
          <w:kern w:val="2"/>
          <w:sz w:val="32"/>
          <w:szCs w:val="32"/>
          <w:lang w:val="en-US" w:eastAsia="zh-CN"/>
        </w:rPr>
        <w:t>59.29</w:t>
      </w:r>
      <w:r>
        <w:rPr>
          <w:rFonts w:hint="eastAsia" w:hAnsi="黑体"/>
          <w:kern w:val="2"/>
          <w:sz w:val="32"/>
          <w:szCs w:val="32"/>
        </w:rPr>
        <w:t>万元，卫生健康支出</w:t>
      </w:r>
      <w:r>
        <w:rPr>
          <w:rFonts w:hint="eastAsia" w:hAnsi="黑体"/>
          <w:kern w:val="2"/>
          <w:sz w:val="32"/>
          <w:szCs w:val="32"/>
          <w:lang w:val="en-US" w:eastAsia="zh-CN"/>
        </w:rPr>
        <w:t>22.77</w:t>
      </w:r>
      <w:r>
        <w:rPr>
          <w:rFonts w:hint="eastAsia" w:hAnsi="黑体"/>
          <w:kern w:val="2"/>
          <w:sz w:val="32"/>
          <w:szCs w:val="32"/>
        </w:rPr>
        <w:t>万元，住房保障支出</w:t>
      </w:r>
      <w:r>
        <w:rPr>
          <w:rFonts w:hint="eastAsia" w:hAnsi="黑体"/>
          <w:kern w:val="2"/>
          <w:sz w:val="32"/>
          <w:szCs w:val="32"/>
          <w:lang w:val="en-US" w:eastAsia="zh-CN"/>
        </w:rPr>
        <w:t>42.88</w:t>
      </w:r>
      <w:r>
        <w:rPr>
          <w:rFonts w:hint="eastAsia" w:hAnsi="黑体"/>
          <w:kern w:val="2"/>
          <w:sz w:val="32"/>
          <w:szCs w:val="32"/>
        </w:rPr>
        <w:t>万元。壤塘县人民检察院202</w:t>
      </w:r>
      <w:r>
        <w:rPr>
          <w:rFonts w:hint="eastAsia" w:hAnsi="黑体"/>
          <w:kern w:val="2"/>
          <w:sz w:val="32"/>
          <w:szCs w:val="32"/>
          <w:lang w:val="en-US" w:eastAsia="zh-CN"/>
        </w:rPr>
        <w:t>2</w:t>
      </w:r>
      <w:r>
        <w:rPr>
          <w:rFonts w:hint="eastAsia" w:hAnsi="黑体"/>
          <w:kern w:val="2"/>
          <w:sz w:val="32"/>
          <w:szCs w:val="32"/>
        </w:rPr>
        <w:t>年收支总预算</w:t>
      </w:r>
      <w:r>
        <w:rPr>
          <w:rFonts w:hint="eastAsia" w:hAnsi="黑体"/>
          <w:kern w:val="2"/>
          <w:sz w:val="32"/>
          <w:szCs w:val="32"/>
          <w:lang w:val="en-US" w:eastAsia="zh-CN"/>
        </w:rPr>
        <w:t>472.94</w:t>
      </w:r>
      <w:r>
        <w:rPr>
          <w:rFonts w:hint="eastAsia" w:hAnsi="黑体"/>
          <w:kern w:val="2"/>
          <w:sz w:val="32"/>
          <w:szCs w:val="32"/>
        </w:rPr>
        <w:t>万元,比20</w:t>
      </w:r>
      <w:r>
        <w:rPr>
          <w:rFonts w:hint="eastAsia" w:hAnsi="黑体"/>
          <w:kern w:val="2"/>
          <w:sz w:val="32"/>
          <w:szCs w:val="32"/>
          <w:lang w:val="en-US" w:eastAsia="zh-CN"/>
        </w:rPr>
        <w:t>21</w:t>
      </w:r>
      <w:r>
        <w:rPr>
          <w:rFonts w:hint="eastAsia" w:hAnsi="黑体"/>
          <w:kern w:val="2"/>
          <w:sz w:val="32"/>
          <w:szCs w:val="32"/>
        </w:rPr>
        <w:t>年收支预算总数</w:t>
      </w:r>
      <w:r>
        <w:rPr>
          <w:rFonts w:hint="eastAsia" w:hAnsi="黑体"/>
          <w:kern w:val="2"/>
          <w:sz w:val="32"/>
          <w:szCs w:val="32"/>
          <w:lang w:val="en-US" w:eastAsia="zh-CN"/>
        </w:rPr>
        <w:t>增加15.64</w:t>
      </w:r>
      <w:r>
        <w:rPr>
          <w:rFonts w:hint="eastAsia" w:hAnsi="黑体"/>
          <w:kern w:val="2"/>
          <w:sz w:val="32"/>
          <w:szCs w:val="32"/>
        </w:rPr>
        <w:t>万元，主要原因:</w:t>
      </w:r>
      <w:r>
        <w:rPr>
          <w:rFonts w:hint="eastAsia" w:hAnsi="黑体"/>
          <w:kern w:val="2"/>
          <w:sz w:val="32"/>
          <w:szCs w:val="32"/>
          <w:lang w:val="en-US" w:eastAsia="zh-CN"/>
        </w:rPr>
        <w:t>2022人员经费增加</w:t>
      </w:r>
      <w:r>
        <w:rPr>
          <w:rFonts w:hint="eastAsia" w:hAnsi="黑体"/>
          <w:kern w:val="2"/>
          <w:sz w:val="32"/>
          <w:szCs w:val="32"/>
        </w:rPr>
        <w:t>。</w:t>
      </w:r>
    </w:p>
    <w:p>
      <w:pPr>
        <w:pStyle w:val="14"/>
        <w:numPr>
          <w:ilvl w:val="0"/>
          <w:numId w:val="2"/>
        </w:numPr>
        <w:spacing w:before="0" w:line="360" w:lineRule="auto"/>
        <w:ind w:firstLine="630" w:firstLineChars="196"/>
        <w:outlineLvl w:val="1"/>
        <w:rPr>
          <w:rFonts w:hint="eastAsia" w:hAnsi="黑体"/>
          <w:kern w:val="2"/>
          <w:sz w:val="32"/>
          <w:szCs w:val="32"/>
        </w:rPr>
      </w:pPr>
      <w:bookmarkStart w:id="5" w:name="_Toc15363"/>
      <w:r>
        <w:rPr>
          <w:rFonts w:hint="eastAsia" w:ascii="楷体_GB2312" w:hAnsi="黑体" w:eastAsia="楷体_GB2312" w:cs="楷体_GB2312"/>
          <w:b/>
          <w:bCs/>
          <w:kern w:val="2"/>
          <w:sz w:val="32"/>
          <w:szCs w:val="32"/>
        </w:rPr>
        <w:t>收入预算情况</w:t>
      </w:r>
      <w:bookmarkEnd w:id="5"/>
    </w:p>
    <w:p>
      <w:pPr>
        <w:pStyle w:val="14"/>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640" w:firstLineChars="200"/>
        <w:textAlignment w:val="auto"/>
        <w:outlineLvl w:val="9"/>
        <w:rPr>
          <w:rFonts w:hint="eastAsia" w:hAnsi="黑体"/>
          <w:kern w:val="2"/>
          <w:sz w:val="32"/>
          <w:szCs w:val="32"/>
        </w:rPr>
      </w:pPr>
      <w:r>
        <w:rPr>
          <w:rFonts w:hint="eastAsia" w:hAnsi="黑体"/>
          <w:kern w:val="2"/>
          <w:sz w:val="32"/>
          <w:szCs w:val="32"/>
        </w:rPr>
        <w:t>壤塘县人民检察院202</w:t>
      </w:r>
      <w:r>
        <w:rPr>
          <w:rFonts w:hint="eastAsia" w:hAnsi="黑体"/>
          <w:kern w:val="2"/>
          <w:sz w:val="32"/>
          <w:szCs w:val="32"/>
          <w:lang w:val="en-US" w:eastAsia="zh-CN"/>
        </w:rPr>
        <w:t>2</w:t>
      </w:r>
      <w:r>
        <w:rPr>
          <w:rFonts w:hint="eastAsia" w:hAnsi="黑体"/>
          <w:kern w:val="2"/>
          <w:sz w:val="32"/>
          <w:szCs w:val="32"/>
        </w:rPr>
        <w:t>年收入预算</w:t>
      </w:r>
      <w:r>
        <w:rPr>
          <w:rFonts w:hint="eastAsia" w:hAnsi="黑体"/>
          <w:kern w:val="2"/>
          <w:sz w:val="32"/>
          <w:szCs w:val="32"/>
          <w:lang w:val="en-US" w:eastAsia="zh-CN"/>
        </w:rPr>
        <w:t>472.94</w:t>
      </w:r>
      <w:r>
        <w:rPr>
          <w:rFonts w:hint="eastAsia" w:hAnsi="黑体"/>
          <w:kern w:val="2"/>
          <w:sz w:val="32"/>
          <w:szCs w:val="32"/>
        </w:rPr>
        <w:t>万元，其中：一般公共预算拨款收入</w:t>
      </w:r>
      <w:r>
        <w:rPr>
          <w:rFonts w:hint="eastAsia" w:hAnsi="黑体"/>
          <w:kern w:val="2"/>
          <w:sz w:val="32"/>
          <w:szCs w:val="32"/>
          <w:lang w:val="en-US" w:eastAsia="zh-CN"/>
        </w:rPr>
        <w:t>472.94</w:t>
      </w:r>
      <w:r>
        <w:rPr>
          <w:rFonts w:hint="eastAsia" w:hAnsi="黑体"/>
          <w:kern w:val="2"/>
          <w:sz w:val="32"/>
          <w:szCs w:val="32"/>
        </w:rPr>
        <w:t>万元，占100%。</w:t>
      </w:r>
    </w:p>
    <w:p>
      <w:pPr>
        <w:pStyle w:val="14"/>
        <w:numPr>
          <w:ilvl w:val="0"/>
          <w:numId w:val="0"/>
        </w:numPr>
        <w:spacing w:before="0" w:line="360" w:lineRule="auto"/>
        <w:outlineLvl w:val="1"/>
        <w:rPr>
          <w:rFonts w:hint="eastAsia" w:ascii="楷体_GB2312" w:hAnsi="黑体" w:eastAsia="楷体_GB2312" w:cs="楷体_GB2312"/>
          <w:b/>
          <w:bCs/>
          <w:kern w:val="2"/>
          <w:sz w:val="32"/>
          <w:szCs w:val="32"/>
        </w:rPr>
      </w:pPr>
      <w:bookmarkStart w:id="6" w:name="_Toc26440"/>
      <w:r>
        <w:rPr>
          <w:rFonts w:hint="eastAsia" w:ascii="楷体_GB2312" w:hAnsi="黑体" w:eastAsia="楷体_GB2312" w:cs="楷体_GB2312"/>
          <w:b/>
          <w:bCs/>
          <w:kern w:val="2"/>
          <w:sz w:val="32"/>
          <w:szCs w:val="32"/>
        </w:rPr>
        <w:t>（二）支出预算情况</w:t>
      </w:r>
      <w:bookmarkEnd w:id="6"/>
    </w:p>
    <w:p>
      <w:pPr>
        <w:pStyle w:val="14"/>
        <w:keepNext w:val="0"/>
        <w:keepLines w:val="0"/>
        <w:pageBreakBefore w:val="0"/>
        <w:widowControl w:val="0"/>
        <w:kinsoku/>
        <w:wordWrap/>
        <w:overflowPunct/>
        <w:topLinePunct w:val="0"/>
        <w:autoSpaceDE/>
        <w:autoSpaceDN/>
        <w:bidi w:val="0"/>
        <w:adjustRightInd/>
        <w:snapToGrid/>
        <w:spacing w:before="0" w:line="560" w:lineRule="exact"/>
        <w:ind w:firstLine="640" w:firstLineChars="200"/>
        <w:textAlignment w:val="auto"/>
        <w:rPr>
          <w:rFonts w:hint="eastAsia" w:hAnsi="黑体"/>
          <w:kern w:val="2"/>
          <w:sz w:val="32"/>
          <w:szCs w:val="32"/>
        </w:rPr>
      </w:pPr>
      <w:r>
        <w:rPr>
          <w:rFonts w:hint="eastAsia" w:hAnsi="黑体"/>
          <w:kern w:val="2"/>
          <w:sz w:val="32"/>
          <w:szCs w:val="32"/>
        </w:rPr>
        <w:t>壤塘县人民检察院202</w:t>
      </w:r>
      <w:r>
        <w:rPr>
          <w:rFonts w:hint="eastAsia" w:hAnsi="黑体"/>
          <w:kern w:val="2"/>
          <w:sz w:val="32"/>
          <w:szCs w:val="32"/>
          <w:lang w:val="en-US" w:eastAsia="zh-CN"/>
        </w:rPr>
        <w:t>2</w:t>
      </w:r>
      <w:r>
        <w:rPr>
          <w:rFonts w:hint="eastAsia" w:hAnsi="黑体"/>
          <w:kern w:val="2"/>
          <w:sz w:val="32"/>
          <w:szCs w:val="32"/>
        </w:rPr>
        <w:t>年支出预算</w:t>
      </w:r>
      <w:r>
        <w:rPr>
          <w:rFonts w:hint="eastAsia" w:hAnsi="黑体"/>
          <w:kern w:val="2"/>
          <w:sz w:val="32"/>
          <w:szCs w:val="32"/>
          <w:lang w:val="en-US" w:eastAsia="zh-CN"/>
        </w:rPr>
        <w:t>472.94</w:t>
      </w:r>
      <w:r>
        <w:rPr>
          <w:rFonts w:hint="eastAsia" w:hAnsi="黑体"/>
          <w:kern w:val="2"/>
          <w:sz w:val="32"/>
          <w:szCs w:val="32"/>
        </w:rPr>
        <w:t>万元，其中：基本支出</w:t>
      </w:r>
      <w:r>
        <w:rPr>
          <w:rFonts w:hint="eastAsia" w:hAnsi="黑体"/>
          <w:kern w:val="2"/>
          <w:sz w:val="32"/>
          <w:szCs w:val="32"/>
          <w:lang w:val="en-US" w:eastAsia="zh-CN"/>
        </w:rPr>
        <w:t>472.94</w:t>
      </w:r>
      <w:r>
        <w:rPr>
          <w:rFonts w:hint="eastAsia" w:hAnsi="黑体"/>
          <w:kern w:val="2"/>
          <w:sz w:val="32"/>
          <w:szCs w:val="32"/>
        </w:rPr>
        <w:t>万元，占</w:t>
      </w:r>
      <w:r>
        <w:rPr>
          <w:rFonts w:hint="eastAsia" w:hAnsi="黑体"/>
          <w:kern w:val="2"/>
          <w:sz w:val="32"/>
          <w:szCs w:val="32"/>
          <w:lang w:val="en-US" w:eastAsia="zh-CN"/>
        </w:rPr>
        <w:t>100</w:t>
      </w:r>
      <w:r>
        <w:rPr>
          <w:rFonts w:hint="eastAsia" w:hAnsi="黑体"/>
          <w:kern w:val="2"/>
          <w:sz w:val="32"/>
          <w:szCs w:val="32"/>
        </w:rPr>
        <w:t>%。</w:t>
      </w:r>
    </w:p>
    <w:p>
      <w:pPr>
        <w:pStyle w:val="14"/>
        <w:numPr>
          <w:ilvl w:val="0"/>
          <w:numId w:val="3"/>
        </w:numPr>
        <w:spacing w:before="0" w:line="360" w:lineRule="auto"/>
        <w:ind w:firstLine="640" w:firstLineChars="200"/>
        <w:outlineLvl w:val="0"/>
        <w:rPr>
          <w:rFonts w:hint="eastAsia" w:ascii="黑体" w:hAnsi="黑体" w:eastAsia="黑体" w:cs="黑体"/>
          <w:kern w:val="2"/>
          <w:sz w:val="32"/>
          <w:szCs w:val="32"/>
        </w:rPr>
      </w:pPr>
      <w:bookmarkStart w:id="7" w:name="_Toc16236"/>
      <w:r>
        <w:rPr>
          <w:rFonts w:hint="eastAsia" w:ascii="黑体" w:hAnsi="黑体" w:eastAsia="黑体" w:cs="黑体"/>
          <w:kern w:val="2"/>
          <w:sz w:val="32"/>
          <w:szCs w:val="32"/>
        </w:rPr>
        <w:t>财政拨款收支预算情况说明</w:t>
      </w:r>
      <w:bookmarkEnd w:id="7"/>
    </w:p>
    <w:p>
      <w:pPr>
        <w:pStyle w:val="14"/>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640" w:firstLineChars="200"/>
        <w:textAlignment w:val="auto"/>
        <w:outlineLvl w:val="9"/>
        <w:rPr>
          <w:rFonts w:hint="eastAsia" w:hAnsi="黑体"/>
          <w:kern w:val="2"/>
          <w:sz w:val="32"/>
          <w:szCs w:val="32"/>
          <w:lang w:eastAsia="zh-CN"/>
        </w:rPr>
      </w:pPr>
      <w:r>
        <w:rPr>
          <w:rFonts w:hint="eastAsia" w:hAnsi="黑体"/>
          <w:kern w:val="2"/>
          <w:sz w:val="32"/>
          <w:szCs w:val="32"/>
        </w:rPr>
        <w:t>壤塘县人民检察院202</w:t>
      </w:r>
      <w:r>
        <w:rPr>
          <w:rFonts w:hint="eastAsia" w:hAnsi="黑体"/>
          <w:kern w:val="2"/>
          <w:sz w:val="32"/>
          <w:szCs w:val="32"/>
          <w:lang w:val="en-US" w:eastAsia="zh-CN"/>
        </w:rPr>
        <w:t>2</w:t>
      </w:r>
      <w:r>
        <w:rPr>
          <w:rFonts w:hint="eastAsia" w:hAnsi="黑体"/>
          <w:kern w:val="2"/>
          <w:sz w:val="32"/>
          <w:szCs w:val="32"/>
        </w:rPr>
        <w:t>年财政拨款收支总预算</w:t>
      </w:r>
      <w:r>
        <w:rPr>
          <w:rFonts w:hint="eastAsia" w:hAnsi="黑体"/>
          <w:kern w:val="2"/>
          <w:sz w:val="32"/>
          <w:szCs w:val="32"/>
          <w:lang w:val="en-US" w:eastAsia="zh-CN"/>
        </w:rPr>
        <w:t>472.94</w:t>
      </w:r>
      <w:r>
        <w:rPr>
          <w:rFonts w:hint="eastAsia" w:hAnsi="黑体"/>
          <w:kern w:val="2"/>
          <w:sz w:val="32"/>
          <w:szCs w:val="32"/>
        </w:rPr>
        <w:t>万元,比20</w:t>
      </w:r>
      <w:r>
        <w:rPr>
          <w:rFonts w:hint="eastAsia" w:hAnsi="黑体"/>
          <w:kern w:val="2"/>
          <w:sz w:val="32"/>
          <w:szCs w:val="32"/>
          <w:lang w:val="en-US" w:eastAsia="zh-CN"/>
        </w:rPr>
        <w:t>21</w:t>
      </w:r>
      <w:r>
        <w:rPr>
          <w:rFonts w:hint="eastAsia" w:hAnsi="黑体"/>
          <w:kern w:val="2"/>
          <w:sz w:val="32"/>
          <w:szCs w:val="32"/>
        </w:rPr>
        <w:t>年财政拨款收支总预算</w:t>
      </w:r>
      <w:r>
        <w:rPr>
          <w:rFonts w:hint="eastAsia" w:hAnsi="黑体"/>
          <w:kern w:val="2"/>
          <w:sz w:val="32"/>
          <w:szCs w:val="32"/>
          <w:lang w:val="en-US" w:eastAsia="zh-CN"/>
        </w:rPr>
        <w:t>增加15.64</w:t>
      </w:r>
      <w:r>
        <w:rPr>
          <w:rFonts w:hint="eastAsia" w:hAnsi="黑体"/>
          <w:kern w:val="2"/>
          <w:sz w:val="32"/>
          <w:szCs w:val="32"/>
          <w:lang w:eastAsia="zh-CN"/>
        </w:rPr>
        <w:t>万元，主要原因:</w:t>
      </w:r>
      <w:r>
        <w:rPr>
          <w:rFonts w:hint="eastAsia" w:hAnsi="黑体"/>
          <w:kern w:val="2"/>
          <w:sz w:val="32"/>
          <w:szCs w:val="32"/>
          <w:lang w:val="en-US" w:eastAsia="zh-CN"/>
        </w:rPr>
        <w:t>2022人员经费增加</w:t>
      </w:r>
      <w:r>
        <w:rPr>
          <w:rFonts w:hint="eastAsia" w:hAnsi="黑体"/>
          <w:kern w:val="2"/>
          <w:sz w:val="32"/>
          <w:szCs w:val="32"/>
        </w:rPr>
        <w:t>。收入包括：本年一般公共预算拨款收入</w:t>
      </w:r>
      <w:r>
        <w:rPr>
          <w:rFonts w:hint="eastAsia" w:hAnsi="黑体"/>
          <w:kern w:val="2"/>
          <w:sz w:val="32"/>
          <w:szCs w:val="32"/>
          <w:lang w:val="en-US" w:eastAsia="zh-CN"/>
        </w:rPr>
        <w:t>472.94</w:t>
      </w:r>
      <w:r>
        <w:rPr>
          <w:rFonts w:hint="eastAsia" w:hAnsi="黑体"/>
          <w:kern w:val="2"/>
          <w:sz w:val="32"/>
          <w:szCs w:val="32"/>
        </w:rPr>
        <w:t>万元，上年结转一般公共预算收入</w:t>
      </w:r>
      <w:r>
        <w:rPr>
          <w:rFonts w:hint="eastAsia" w:hAnsi="黑体"/>
          <w:kern w:val="2"/>
          <w:sz w:val="32"/>
          <w:szCs w:val="32"/>
          <w:lang w:val="en-US" w:eastAsia="zh-CN"/>
        </w:rPr>
        <w:t>0</w:t>
      </w:r>
      <w:r>
        <w:rPr>
          <w:rFonts w:hint="eastAsia" w:hAnsi="黑体"/>
          <w:kern w:val="2"/>
          <w:sz w:val="32"/>
          <w:szCs w:val="32"/>
        </w:rPr>
        <w:t>万元，上年结转财政拨款资金</w:t>
      </w:r>
      <w:r>
        <w:rPr>
          <w:rFonts w:hint="eastAsia" w:hAnsi="黑体"/>
          <w:kern w:val="2"/>
          <w:sz w:val="32"/>
          <w:szCs w:val="32"/>
          <w:lang w:val="en-US" w:eastAsia="zh-CN"/>
        </w:rPr>
        <w:t>0</w:t>
      </w:r>
      <w:r>
        <w:rPr>
          <w:rFonts w:hint="eastAsia" w:hAnsi="黑体"/>
          <w:kern w:val="2"/>
          <w:sz w:val="32"/>
          <w:szCs w:val="32"/>
        </w:rPr>
        <w:t>万元</w:t>
      </w:r>
      <w:r>
        <w:rPr>
          <w:rFonts w:hint="eastAsia" w:hAnsi="黑体"/>
          <w:kern w:val="2"/>
          <w:sz w:val="32"/>
          <w:szCs w:val="32"/>
          <w:lang w:eastAsia="zh-CN"/>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640" w:firstLineChars="200"/>
        <w:textAlignment w:val="auto"/>
        <w:rPr>
          <w:rFonts w:hint="eastAsia" w:hAnsi="黑体"/>
          <w:kern w:val="2"/>
          <w:sz w:val="32"/>
          <w:szCs w:val="32"/>
        </w:rPr>
      </w:pPr>
      <w:r>
        <w:rPr>
          <w:rFonts w:hint="eastAsia" w:hAnsi="黑体"/>
          <w:kern w:val="2"/>
          <w:sz w:val="32"/>
          <w:szCs w:val="32"/>
        </w:rPr>
        <w:t>支出包括：公共安全支出</w:t>
      </w:r>
      <w:r>
        <w:rPr>
          <w:rFonts w:hint="eastAsia" w:hAnsi="黑体"/>
          <w:kern w:val="2"/>
          <w:sz w:val="32"/>
          <w:szCs w:val="32"/>
          <w:lang w:val="en-US" w:eastAsia="zh-CN"/>
        </w:rPr>
        <w:t>348.00</w:t>
      </w:r>
      <w:r>
        <w:rPr>
          <w:rFonts w:hint="eastAsia" w:hAnsi="黑体"/>
          <w:kern w:val="2"/>
          <w:sz w:val="32"/>
          <w:szCs w:val="32"/>
        </w:rPr>
        <w:t>万元，社会保障和就业支出</w:t>
      </w:r>
      <w:r>
        <w:rPr>
          <w:rFonts w:hint="eastAsia" w:hAnsi="黑体"/>
          <w:kern w:val="2"/>
          <w:sz w:val="32"/>
          <w:szCs w:val="32"/>
          <w:lang w:val="en-US" w:eastAsia="zh-CN"/>
        </w:rPr>
        <w:t>59.29</w:t>
      </w:r>
      <w:r>
        <w:rPr>
          <w:rFonts w:hint="eastAsia" w:hAnsi="黑体"/>
          <w:kern w:val="2"/>
          <w:sz w:val="32"/>
          <w:szCs w:val="32"/>
        </w:rPr>
        <w:t>万元，卫生健康支出</w:t>
      </w:r>
      <w:r>
        <w:rPr>
          <w:rFonts w:hint="eastAsia" w:hAnsi="黑体"/>
          <w:kern w:val="2"/>
          <w:sz w:val="32"/>
          <w:szCs w:val="32"/>
          <w:lang w:val="en-US" w:eastAsia="zh-CN"/>
        </w:rPr>
        <w:t>22.77</w:t>
      </w:r>
      <w:r>
        <w:rPr>
          <w:rFonts w:hint="eastAsia" w:hAnsi="黑体"/>
          <w:kern w:val="2"/>
          <w:sz w:val="32"/>
          <w:szCs w:val="32"/>
        </w:rPr>
        <w:t>万元，住房保障支出</w:t>
      </w:r>
      <w:r>
        <w:rPr>
          <w:rFonts w:hint="eastAsia" w:hAnsi="黑体"/>
          <w:kern w:val="2"/>
          <w:sz w:val="32"/>
          <w:szCs w:val="32"/>
          <w:lang w:val="en-US" w:eastAsia="zh-CN"/>
        </w:rPr>
        <w:t>42.88</w:t>
      </w:r>
      <w:r>
        <w:rPr>
          <w:rFonts w:hint="eastAsia" w:hAnsi="黑体"/>
          <w:kern w:val="2"/>
          <w:sz w:val="32"/>
          <w:szCs w:val="32"/>
        </w:rPr>
        <w:t>万元。</w:t>
      </w:r>
    </w:p>
    <w:p>
      <w:pPr>
        <w:pStyle w:val="14"/>
        <w:numPr>
          <w:ilvl w:val="0"/>
          <w:numId w:val="3"/>
        </w:numPr>
        <w:spacing w:before="0" w:line="360" w:lineRule="auto"/>
        <w:ind w:left="0" w:leftChars="0" w:firstLine="640" w:firstLineChars="200"/>
        <w:outlineLvl w:val="0"/>
        <w:rPr>
          <w:rFonts w:hint="eastAsia" w:ascii="黑体" w:hAnsi="黑体" w:eastAsia="黑体" w:cs="黑体"/>
          <w:kern w:val="2"/>
          <w:sz w:val="32"/>
          <w:szCs w:val="32"/>
        </w:rPr>
      </w:pPr>
      <w:bookmarkStart w:id="8" w:name="_Toc12950"/>
      <w:r>
        <w:rPr>
          <w:rFonts w:hint="eastAsia" w:ascii="黑体" w:hAnsi="黑体" w:eastAsia="黑体" w:cs="黑体"/>
          <w:kern w:val="2"/>
          <w:sz w:val="32"/>
          <w:szCs w:val="32"/>
        </w:rPr>
        <w:t>一般公共预算当年拨款情况说明</w:t>
      </w:r>
      <w:bookmarkEnd w:id="8"/>
    </w:p>
    <w:p>
      <w:pPr>
        <w:pStyle w:val="14"/>
        <w:numPr>
          <w:ilvl w:val="0"/>
          <w:numId w:val="0"/>
        </w:numPr>
        <w:spacing w:before="0" w:line="360" w:lineRule="auto"/>
        <w:ind w:leftChars="200"/>
        <w:outlineLvl w:val="1"/>
        <w:rPr>
          <w:rFonts w:hAnsi="黑体" w:cs="Times New Roman"/>
          <w:kern w:val="2"/>
          <w:sz w:val="32"/>
          <w:szCs w:val="32"/>
        </w:rPr>
      </w:pPr>
      <w:bookmarkStart w:id="9" w:name="_Toc2568"/>
      <w:r>
        <w:rPr>
          <w:rFonts w:hint="eastAsia" w:ascii="楷体_GB2312" w:hAnsi="黑体" w:eastAsia="楷体_GB2312" w:cs="楷体_GB2312"/>
          <w:b/>
          <w:bCs/>
          <w:kern w:val="2"/>
          <w:sz w:val="32"/>
          <w:szCs w:val="32"/>
        </w:rPr>
        <w:t>（一）一般公共预算当年拨款规模变化情况</w:t>
      </w:r>
      <w:bookmarkEnd w:id="9"/>
    </w:p>
    <w:p>
      <w:pPr>
        <w:pStyle w:val="14"/>
        <w:keepNext w:val="0"/>
        <w:keepLines w:val="0"/>
        <w:pageBreakBefore w:val="0"/>
        <w:widowControl w:val="0"/>
        <w:kinsoku/>
        <w:wordWrap/>
        <w:overflowPunct/>
        <w:topLinePunct w:val="0"/>
        <w:autoSpaceDE/>
        <w:autoSpaceDN/>
        <w:bidi w:val="0"/>
        <w:adjustRightInd/>
        <w:snapToGrid/>
        <w:spacing w:before="0" w:line="560" w:lineRule="exact"/>
        <w:ind w:firstLine="640" w:firstLineChars="200"/>
        <w:textAlignment w:val="auto"/>
        <w:rPr>
          <w:rFonts w:hint="eastAsia" w:hAnsi="黑体"/>
          <w:kern w:val="2"/>
          <w:sz w:val="32"/>
          <w:szCs w:val="32"/>
          <w:lang w:val="en-US" w:eastAsia="zh-CN"/>
        </w:rPr>
      </w:pPr>
      <w:r>
        <w:rPr>
          <w:rFonts w:hint="eastAsia" w:hAnsi="黑体"/>
          <w:kern w:val="2"/>
          <w:sz w:val="32"/>
          <w:szCs w:val="32"/>
        </w:rPr>
        <w:t>壤塘县人民检察院202</w:t>
      </w:r>
      <w:r>
        <w:rPr>
          <w:rFonts w:hint="eastAsia" w:hAnsi="黑体"/>
          <w:kern w:val="2"/>
          <w:sz w:val="32"/>
          <w:szCs w:val="32"/>
          <w:lang w:val="en-US" w:eastAsia="zh-CN"/>
        </w:rPr>
        <w:t>2</w:t>
      </w:r>
      <w:r>
        <w:rPr>
          <w:rFonts w:hint="eastAsia" w:hAnsi="黑体"/>
          <w:kern w:val="2"/>
          <w:sz w:val="32"/>
          <w:szCs w:val="32"/>
        </w:rPr>
        <w:t>年一般公共预算当年拨款</w:t>
      </w:r>
      <w:r>
        <w:rPr>
          <w:rFonts w:hint="eastAsia" w:hAnsi="黑体"/>
          <w:kern w:val="2"/>
          <w:sz w:val="32"/>
          <w:szCs w:val="32"/>
          <w:lang w:val="en-US" w:eastAsia="zh-CN"/>
        </w:rPr>
        <w:t>472.94</w:t>
      </w:r>
      <w:r>
        <w:rPr>
          <w:rFonts w:hint="eastAsia" w:hAnsi="黑体"/>
          <w:kern w:val="2"/>
          <w:sz w:val="32"/>
          <w:szCs w:val="32"/>
        </w:rPr>
        <w:t>万元，比20</w:t>
      </w:r>
      <w:r>
        <w:rPr>
          <w:rFonts w:hint="eastAsia" w:hAnsi="黑体"/>
          <w:kern w:val="2"/>
          <w:sz w:val="32"/>
          <w:szCs w:val="32"/>
          <w:lang w:val="en-US" w:eastAsia="zh-CN"/>
        </w:rPr>
        <w:t>21</w:t>
      </w:r>
      <w:r>
        <w:rPr>
          <w:rFonts w:hint="eastAsia" w:hAnsi="黑体"/>
          <w:kern w:val="2"/>
          <w:sz w:val="32"/>
          <w:szCs w:val="32"/>
        </w:rPr>
        <w:t>年预算数</w:t>
      </w:r>
      <w:r>
        <w:rPr>
          <w:rFonts w:hint="eastAsia" w:hAnsi="黑体"/>
          <w:kern w:val="2"/>
          <w:sz w:val="32"/>
          <w:szCs w:val="32"/>
          <w:lang w:val="en-US" w:eastAsia="zh-CN"/>
        </w:rPr>
        <w:t>增加15.64</w:t>
      </w:r>
      <w:r>
        <w:rPr>
          <w:rFonts w:hint="eastAsia" w:hAnsi="黑体"/>
          <w:kern w:val="2"/>
          <w:sz w:val="32"/>
          <w:szCs w:val="32"/>
        </w:rPr>
        <w:t>万元，主要是基本支出</w:t>
      </w:r>
      <w:r>
        <w:rPr>
          <w:rFonts w:hint="eastAsia" w:hAnsi="黑体"/>
          <w:kern w:val="2"/>
          <w:sz w:val="32"/>
          <w:szCs w:val="32"/>
          <w:lang w:val="en-US" w:eastAsia="zh-CN"/>
        </w:rPr>
        <w:t>增加15.64</w:t>
      </w:r>
      <w:r>
        <w:rPr>
          <w:rFonts w:hint="eastAsia" w:hAnsi="黑体"/>
          <w:kern w:val="2"/>
          <w:sz w:val="32"/>
          <w:szCs w:val="32"/>
          <w:lang w:eastAsia="zh-CN"/>
        </w:rPr>
        <w:t>万元，主要原因:</w:t>
      </w:r>
      <w:r>
        <w:rPr>
          <w:rFonts w:hint="eastAsia" w:hAnsi="黑体"/>
          <w:kern w:val="2"/>
          <w:sz w:val="32"/>
          <w:szCs w:val="32"/>
          <w:lang w:val="en-US" w:eastAsia="zh-CN"/>
        </w:rPr>
        <w:t>2022人员经费增加。</w:t>
      </w:r>
    </w:p>
    <w:p>
      <w:pPr>
        <w:pStyle w:val="14"/>
        <w:spacing w:before="0" w:line="360" w:lineRule="auto"/>
        <w:ind w:firstLine="630" w:firstLineChars="196"/>
        <w:outlineLvl w:val="1"/>
        <w:rPr>
          <w:rFonts w:hint="eastAsia" w:ascii="楷体_GB2312" w:hAnsi="黑体" w:eastAsia="楷体_GB2312" w:cs="楷体_GB2312"/>
          <w:b/>
          <w:bCs/>
          <w:kern w:val="2"/>
          <w:sz w:val="32"/>
          <w:szCs w:val="32"/>
        </w:rPr>
      </w:pPr>
      <w:bookmarkStart w:id="10" w:name="_Toc17873"/>
      <w:r>
        <w:rPr>
          <w:rFonts w:hint="eastAsia" w:ascii="楷体_GB2312" w:hAnsi="黑体" w:eastAsia="楷体_GB2312" w:cs="楷体_GB2312"/>
          <w:b/>
          <w:bCs/>
          <w:kern w:val="2"/>
          <w:sz w:val="32"/>
          <w:szCs w:val="32"/>
        </w:rPr>
        <w:t>（二）一般公共预算当年拨款结构情况</w:t>
      </w:r>
      <w:bookmarkEnd w:id="10"/>
    </w:p>
    <w:p>
      <w:pPr>
        <w:pStyle w:val="14"/>
        <w:keepNext w:val="0"/>
        <w:keepLines w:val="0"/>
        <w:pageBreakBefore w:val="0"/>
        <w:widowControl w:val="0"/>
        <w:kinsoku/>
        <w:wordWrap/>
        <w:overflowPunct/>
        <w:topLinePunct w:val="0"/>
        <w:autoSpaceDE/>
        <w:autoSpaceDN/>
        <w:bidi w:val="0"/>
        <w:adjustRightInd/>
        <w:snapToGrid/>
        <w:spacing w:before="0" w:line="560" w:lineRule="exact"/>
        <w:ind w:firstLine="640" w:firstLineChars="200"/>
        <w:textAlignment w:val="auto"/>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公共安全支出348.00万元，占73.58%；社会保障和就业支出59.29万元，占12.54%；卫生健康支出22.77万元，占4.81%；住房保障支出42.88万元，占9.07%。</w:t>
      </w:r>
    </w:p>
    <w:p>
      <w:pPr>
        <w:pStyle w:val="14"/>
        <w:numPr>
          <w:ilvl w:val="0"/>
          <w:numId w:val="2"/>
        </w:numPr>
        <w:spacing w:before="0" w:line="360" w:lineRule="auto"/>
        <w:ind w:left="0" w:leftChars="0" w:firstLine="630" w:firstLineChars="196"/>
        <w:outlineLvl w:val="1"/>
        <w:rPr>
          <w:rFonts w:hint="eastAsia" w:ascii="楷体_GB2312" w:hAnsi="黑体" w:eastAsia="楷体_GB2312" w:cs="楷体_GB2312"/>
          <w:b/>
          <w:bCs/>
          <w:kern w:val="2"/>
          <w:sz w:val="32"/>
          <w:szCs w:val="32"/>
        </w:rPr>
      </w:pPr>
      <w:bookmarkStart w:id="11" w:name="_Toc3403"/>
      <w:r>
        <w:rPr>
          <w:rFonts w:hint="eastAsia" w:ascii="楷体_GB2312" w:hAnsi="黑体" w:eastAsia="楷体_GB2312" w:cs="楷体_GB2312"/>
          <w:b/>
          <w:bCs/>
          <w:kern w:val="2"/>
          <w:sz w:val="32"/>
          <w:szCs w:val="32"/>
        </w:rPr>
        <w:t>一般公共预算当年拨款具体使用情况</w:t>
      </w:r>
      <w:bookmarkEnd w:id="11"/>
    </w:p>
    <w:p>
      <w:pPr>
        <w:pStyle w:val="14"/>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640" w:firstLineChars="200"/>
        <w:textAlignment w:val="auto"/>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1．公共安全支出（类）检察（款）行政运行（项）2022年预算数为348.00万元，主要用于:工资、办公费、差旅费等。</w:t>
      </w:r>
    </w:p>
    <w:p>
      <w:pPr>
        <w:pStyle w:val="8"/>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05" w:beforeAutospacing="0" w:after="105" w:afterAutospacing="0" w:line="560" w:lineRule="exact"/>
        <w:ind w:left="0" w:right="0" w:firstLine="640" w:firstLineChars="200"/>
        <w:jc w:val="left"/>
        <w:textAlignment w:val="auto"/>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社会保障和就业支出（类）行政事业单位离退休（款）机关事业单位基本养老保险缴费支出（项）2022年预算数59.29万元，主要用于养老保险缴费。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05" w:beforeAutospacing="0" w:after="105" w:afterAutospacing="0" w:line="560" w:lineRule="exact"/>
        <w:ind w:left="0" w:right="0" w:firstLine="640" w:firstLineChars="200"/>
        <w:jc w:val="left"/>
        <w:textAlignment w:val="auto"/>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3．社会保障和就业支出（类）行政事业单位离退休（款）机关事业单位职业年金缴费支出（项）2022年预算数19.76万元，主要用于职业年金缴费。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05" w:beforeAutospacing="0" w:after="105" w:afterAutospacing="0" w:line="560" w:lineRule="exact"/>
        <w:ind w:left="0" w:right="0" w:firstLine="640" w:firstLineChars="200"/>
        <w:jc w:val="left"/>
        <w:textAlignment w:val="auto"/>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4．医疗卫生与计划生育支出（类）行政事业单位医疗（款）行政单位医疗（项）2021年预算数17.29万元，主要用于行政单位医疗缴费。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05" w:beforeAutospacing="0" w:after="105" w:afterAutospacing="0" w:line="560" w:lineRule="exact"/>
        <w:ind w:left="0" w:right="0" w:firstLine="640" w:firstLineChars="200"/>
        <w:jc w:val="left"/>
        <w:textAlignment w:val="auto"/>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5．医疗卫生与计划生育支出（类）行政事业单位医疗（款）公务员医疗补助项）2022年预算数5.48万元，主要用于公务员医疗补助缴费。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05" w:beforeAutospacing="0" w:after="105" w:afterAutospacing="0" w:line="560" w:lineRule="exact"/>
        <w:ind w:left="0" w:right="0" w:firstLine="640" w:firstLineChars="200"/>
        <w:jc w:val="left"/>
        <w:textAlignment w:val="auto"/>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6．住房保障支出（类）住房改革支出（款）住房公积金（项）2022年预算数42.88万元，主要用于住房公积金缴纳。</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105" w:afterAutospacing="0" w:line="30" w:lineRule="atLeast"/>
        <w:ind w:left="0" w:right="0" w:firstLine="420"/>
        <w:jc w:val="left"/>
        <w:outlineLvl w:val="0"/>
        <w:rPr>
          <w:rFonts w:hint="eastAsia" w:ascii="黑体" w:hAnsi="黑体" w:eastAsia="黑体" w:cs="黑体"/>
          <w:kern w:val="2"/>
          <w:sz w:val="32"/>
          <w:szCs w:val="32"/>
        </w:rPr>
      </w:pPr>
      <w:bookmarkStart w:id="12" w:name="_Toc17102"/>
      <w:r>
        <w:rPr>
          <w:rFonts w:hint="eastAsia" w:ascii="黑体" w:hAnsi="黑体" w:eastAsia="黑体" w:cs="黑体"/>
          <w:kern w:val="2"/>
          <w:sz w:val="32"/>
          <w:szCs w:val="32"/>
        </w:rPr>
        <w:t>六、一般公共预算基本支出情况说明</w:t>
      </w:r>
      <w:bookmarkEnd w:id="12"/>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hAnsi="黑体"/>
          <w:kern w:val="2"/>
          <w:sz w:val="32"/>
          <w:szCs w:val="32"/>
        </w:rPr>
      </w:pPr>
      <w:r>
        <w:rPr>
          <w:rFonts w:hint="eastAsia" w:ascii="仿宋_GB2312" w:hAnsi="黑体" w:eastAsia="仿宋_GB2312" w:cs="仿宋_GB2312"/>
          <w:kern w:val="2"/>
          <w:sz w:val="32"/>
          <w:szCs w:val="32"/>
          <w:lang w:val="en-US" w:eastAsia="zh-CN" w:bidi="ar-SA"/>
        </w:rPr>
        <w:t>壤塘县人民检察院2022年一般公共预算基本支出472.94万元，其中：人员经费427.99万元，主要包括：基本工资、津贴补贴、奖金、其他社会保障缴费、绩效工资、机关事业单位基本养老保险缴费、职业年金缴费、其他工资福利支出、离休费、奖励金、住房公积金、其他对个人和家庭的补助支出。公用经费44.94万元，主要包括：办公费、印刷费、手续费、水费、电费、邮电费、差旅费、维修（护）费、租赁费、会议费、培训费、劳务费、工会经费、福利费、其他交通工具运行维护费、其他商品和服务支出</w:t>
      </w:r>
      <w:r>
        <w:rPr>
          <w:rFonts w:hint="eastAsia" w:hAnsi="黑体"/>
          <w:kern w:val="2"/>
          <w:sz w:val="32"/>
          <w:szCs w:val="32"/>
        </w:rPr>
        <w:t>。</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105" w:afterAutospacing="0" w:line="30" w:lineRule="atLeast"/>
        <w:ind w:leftChars="200" w:right="0" w:rightChars="0"/>
        <w:jc w:val="left"/>
        <w:outlineLvl w:val="0"/>
        <w:rPr>
          <w:rFonts w:hint="eastAsia" w:ascii="黑体" w:hAnsi="黑体" w:eastAsia="黑体" w:cs="黑体"/>
          <w:kern w:val="2"/>
          <w:sz w:val="32"/>
          <w:szCs w:val="32"/>
        </w:rPr>
      </w:pPr>
      <w:bookmarkStart w:id="13" w:name="_Toc18717"/>
      <w:r>
        <w:rPr>
          <w:rFonts w:hint="eastAsia" w:ascii="黑体" w:hAnsi="黑体" w:eastAsia="黑体" w:cs="Times New Roman"/>
          <w:kern w:val="2"/>
          <w:sz w:val="32"/>
          <w:szCs w:val="32"/>
          <w:lang w:val="en-US" w:eastAsia="zh-CN"/>
        </w:rPr>
        <w:t>七、</w:t>
      </w:r>
      <w:r>
        <w:rPr>
          <w:rFonts w:ascii="黑体" w:hAnsi="黑体" w:eastAsia="黑体" w:cs="Times New Roman"/>
          <w:kern w:val="2"/>
          <w:sz w:val="32"/>
          <w:szCs w:val="32"/>
        </w:rPr>
        <w:t>“</w:t>
      </w:r>
      <w:r>
        <w:rPr>
          <w:rFonts w:hint="eastAsia" w:ascii="黑体" w:hAnsi="黑体" w:eastAsia="黑体" w:cs="黑体"/>
          <w:kern w:val="2"/>
          <w:sz w:val="32"/>
          <w:szCs w:val="32"/>
        </w:rPr>
        <w:t>三公</w:t>
      </w:r>
      <w:r>
        <w:rPr>
          <w:rFonts w:ascii="黑体" w:hAnsi="黑体" w:eastAsia="黑体" w:cs="Times New Roman"/>
          <w:kern w:val="2"/>
          <w:sz w:val="32"/>
          <w:szCs w:val="32"/>
        </w:rPr>
        <w:t>”</w:t>
      </w:r>
      <w:r>
        <w:rPr>
          <w:rFonts w:hint="eastAsia" w:ascii="黑体" w:hAnsi="黑体" w:eastAsia="黑体" w:cs="黑体"/>
          <w:kern w:val="2"/>
          <w:sz w:val="32"/>
          <w:szCs w:val="32"/>
        </w:rPr>
        <w:t>经费财政拨款预算安排情况说明</w:t>
      </w:r>
      <w:bookmarkEnd w:id="13"/>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200" w:right="0" w:rightChars="0" w:firstLine="640" w:firstLineChars="200"/>
        <w:jc w:val="left"/>
        <w:textAlignment w:val="auto"/>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壤塘县人民检察院2022年“三公”经费财政拨款预算数2.8万元，其中：因公出国（境）经费0万元，公务接待费0.8万元，公务用车购置及运行维护费2万元。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（一）2022年因公出国（境）经费0万元。较2021年预算经费0万元增长0%，主要原因是：无人员出国（境）。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（二）2022年公务接待经费0.8万元。较2021年预算经费0.76万元增加0.04万元，主要原因是：我院接待费需求增加。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（三）2022年公务用车购置及运行维护费2.8万元。较2021年预算经费2.5万元增加0.3万元，主要原因：我院案件增多。</w:t>
      </w:r>
    </w:p>
    <w:p>
      <w:pPr>
        <w:pStyle w:val="8"/>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105" w:afterAutospacing="0" w:line="30" w:lineRule="atLeast"/>
        <w:ind w:left="0" w:right="0" w:firstLine="420"/>
        <w:outlineLvl w:val="0"/>
        <w:rPr>
          <w:rFonts w:hint="eastAsia" w:ascii="黑体" w:hAnsi="黑体" w:eastAsia="黑体" w:cs="黑体"/>
          <w:kern w:val="2"/>
          <w:sz w:val="32"/>
          <w:szCs w:val="32"/>
        </w:rPr>
      </w:pPr>
      <w:bookmarkStart w:id="14" w:name="_Toc8604"/>
      <w:r>
        <w:rPr>
          <w:rFonts w:hint="eastAsia" w:ascii="黑体" w:hAnsi="黑体" w:eastAsia="黑体" w:cs="黑体"/>
          <w:kern w:val="2"/>
          <w:sz w:val="32"/>
          <w:szCs w:val="32"/>
        </w:rPr>
        <w:t>政府性基金预算支出情况说明</w:t>
      </w:r>
      <w:bookmarkEnd w:id="14"/>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我院无政府性基金预算支出。</w:t>
      </w:r>
    </w:p>
    <w:p>
      <w:pPr>
        <w:pStyle w:val="8"/>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105" w:afterAutospacing="0" w:line="30" w:lineRule="atLeast"/>
        <w:ind w:left="0" w:leftChars="0" w:right="0" w:rightChars="0" w:firstLine="420" w:firstLineChars="0"/>
        <w:outlineLvl w:val="0"/>
        <w:rPr>
          <w:rFonts w:hint="eastAsia" w:hAnsi="黑体"/>
          <w:kern w:val="2"/>
          <w:sz w:val="32"/>
          <w:szCs w:val="32"/>
        </w:rPr>
      </w:pPr>
      <w:bookmarkStart w:id="15" w:name="_Toc30223"/>
      <w:r>
        <w:rPr>
          <w:rFonts w:hint="eastAsia" w:ascii="黑体" w:hAnsi="黑体" w:eastAsia="黑体" w:cs="黑体"/>
          <w:kern w:val="2"/>
          <w:sz w:val="32"/>
          <w:szCs w:val="32"/>
        </w:rPr>
        <w:t>其他重要事项的情况说明</w:t>
      </w:r>
      <w:bookmarkEnd w:id="15"/>
    </w:p>
    <w:p>
      <w:pPr>
        <w:pStyle w:val="8"/>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105" w:afterAutospacing="0" w:line="30" w:lineRule="atLeast"/>
        <w:ind w:left="420" w:leftChars="0" w:right="0" w:rightChars="0"/>
        <w:outlineLvl w:val="1"/>
        <w:rPr>
          <w:rFonts w:ascii="楷体_GB2312" w:hAnsi="黑体" w:eastAsia="楷体_GB2312" w:cs="Times New Roman"/>
          <w:b/>
          <w:bCs/>
          <w:kern w:val="2"/>
          <w:sz w:val="32"/>
          <w:szCs w:val="32"/>
        </w:rPr>
      </w:pPr>
      <w:bookmarkStart w:id="16" w:name="_Toc15953"/>
      <w:r>
        <w:rPr>
          <w:rFonts w:hint="eastAsia" w:ascii="楷体_GB2312" w:hAnsi="黑体" w:eastAsia="楷体_GB2312" w:cs="楷体_GB2312"/>
          <w:b/>
          <w:bCs/>
          <w:kern w:val="2"/>
          <w:sz w:val="32"/>
          <w:szCs w:val="32"/>
        </w:rPr>
        <w:t>机关运行经</w:t>
      </w:r>
      <w:r>
        <w:rPr>
          <w:rFonts w:hint="eastAsia" w:ascii="楷体_GB2312" w:hAnsi="黑体" w:eastAsia="楷体_GB2312" w:cs="楷体_GB2312"/>
          <w:b/>
          <w:bCs/>
          <w:kern w:val="2"/>
          <w:sz w:val="32"/>
          <w:szCs w:val="32"/>
          <w:lang w:val="en-US" w:eastAsia="zh-CN"/>
        </w:rPr>
        <w:t>费</w:t>
      </w:r>
      <w:bookmarkEnd w:id="16"/>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壤塘县人民检察院2022年机关运行经费财政拨款预算为44.94万元，比2021年预算增加2.28万元，增加5.34%。</w:t>
      </w:r>
    </w:p>
    <w:p>
      <w:pPr>
        <w:pStyle w:val="8"/>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105" w:afterAutospacing="0" w:line="30" w:lineRule="atLeast"/>
        <w:ind w:left="420" w:leftChars="0" w:right="0" w:rightChars="0" w:firstLine="0" w:firstLineChars="0"/>
        <w:outlineLvl w:val="1"/>
        <w:rPr>
          <w:rFonts w:hint="eastAsia" w:ascii="楷体_GB2312" w:hAnsi="黑体" w:eastAsia="楷体_GB2312" w:cs="楷体_GB2312"/>
          <w:b/>
          <w:bCs/>
          <w:kern w:val="2"/>
          <w:sz w:val="32"/>
          <w:szCs w:val="32"/>
        </w:rPr>
      </w:pPr>
      <w:bookmarkStart w:id="17" w:name="_Toc13925"/>
      <w:r>
        <w:rPr>
          <w:rFonts w:hint="eastAsia" w:ascii="楷体_GB2312" w:hAnsi="黑体" w:eastAsia="楷体_GB2312" w:cs="楷体_GB2312"/>
          <w:b/>
          <w:bCs/>
          <w:kern w:val="2"/>
          <w:sz w:val="32"/>
          <w:szCs w:val="32"/>
        </w:rPr>
        <w:t>政府采购情况</w:t>
      </w:r>
      <w:bookmarkEnd w:id="17"/>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202</w:t>
      </w:r>
      <w:r>
        <w:rPr>
          <w:rFonts w:hint="eastAsia" w:hAnsi="黑体" w:cs="仿宋_GB2312"/>
          <w:kern w:val="2"/>
          <w:sz w:val="32"/>
          <w:szCs w:val="32"/>
          <w:lang w:val="en-US" w:eastAsia="zh-CN" w:bidi="ar-SA"/>
        </w:rPr>
        <w:t>2</w:t>
      </w:r>
      <w:r>
        <w:rPr>
          <w:rFonts w:hint="eastAsia" w:ascii="仿宋_GB2312" w:hAnsi="黑体" w:eastAsia="仿宋_GB2312" w:cs="仿宋_GB2312"/>
          <w:kern w:val="2"/>
          <w:sz w:val="32"/>
          <w:szCs w:val="32"/>
          <w:lang w:val="en-US" w:eastAsia="zh-CN" w:bidi="ar-SA"/>
        </w:rPr>
        <w:t>年壤塘县人民检察院安排政府采购预算0万元，主要用于：我院无政府采购。</w:t>
      </w:r>
    </w:p>
    <w:p>
      <w:pPr>
        <w:pStyle w:val="14"/>
        <w:numPr>
          <w:ilvl w:val="0"/>
          <w:numId w:val="6"/>
        </w:numPr>
        <w:spacing w:before="0" w:line="360" w:lineRule="auto"/>
        <w:ind w:left="420" w:leftChars="0" w:firstLine="0" w:firstLineChars="0"/>
        <w:outlineLvl w:val="1"/>
        <w:rPr>
          <w:rFonts w:hint="eastAsia" w:ascii="楷体_GB2312" w:hAnsi="黑体" w:eastAsia="楷体_GB2312" w:cs="楷体_GB2312"/>
          <w:b/>
          <w:bCs/>
          <w:kern w:val="2"/>
          <w:sz w:val="32"/>
          <w:szCs w:val="32"/>
        </w:rPr>
      </w:pPr>
      <w:bookmarkStart w:id="18" w:name="_Toc13964"/>
      <w:r>
        <w:rPr>
          <w:rFonts w:hint="eastAsia" w:ascii="楷体_GB2312" w:hAnsi="黑体" w:eastAsia="楷体_GB2312" w:cs="楷体_GB2312"/>
          <w:b/>
          <w:bCs/>
          <w:kern w:val="2"/>
          <w:sz w:val="32"/>
          <w:szCs w:val="32"/>
        </w:rPr>
        <w:t>国有资产占有使用情况</w:t>
      </w:r>
      <w:bookmarkEnd w:id="18"/>
    </w:p>
    <w:p>
      <w:pPr>
        <w:pStyle w:val="14"/>
        <w:numPr>
          <w:ilvl w:val="0"/>
          <w:numId w:val="6"/>
        </w:numPr>
        <w:spacing w:before="0" w:line="360" w:lineRule="auto"/>
        <w:ind w:left="420" w:leftChars="0" w:firstLine="0" w:firstLineChars="0"/>
        <w:outlineLvl w:val="1"/>
        <w:rPr>
          <w:rFonts w:hint="eastAsia" w:ascii="楷体_GB2312" w:hAnsi="黑体" w:eastAsia="楷体_GB2312" w:cs="楷体_GB2312"/>
          <w:b/>
          <w:bCs/>
          <w:kern w:val="2"/>
          <w:sz w:val="32"/>
          <w:szCs w:val="32"/>
        </w:rPr>
      </w:pPr>
      <w:bookmarkStart w:id="19" w:name="_Toc11297"/>
      <w:r>
        <w:rPr>
          <w:rFonts w:hint="eastAsia" w:ascii="楷体_GB2312" w:hAnsi="黑体" w:eastAsia="楷体_GB2312" w:cs="楷体_GB2312"/>
          <w:b/>
          <w:bCs/>
          <w:kern w:val="2"/>
          <w:sz w:val="32"/>
          <w:szCs w:val="32"/>
        </w:rPr>
        <w:t>绩效目标设置情况</w:t>
      </w:r>
      <w:bookmarkEnd w:id="19"/>
    </w:p>
    <w:p>
      <w:pPr>
        <w:pStyle w:val="14"/>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0" w:leftChars="0" w:firstLine="640" w:firstLineChars="200"/>
        <w:textAlignment w:val="auto"/>
        <w:outlineLvl w:val="9"/>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壤塘县人民检察院202</w:t>
      </w:r>
      <w:r>
        <w:rPr>
          <w:rFonts w:hint="eastAsia" w:hAnsi="黑体" w:cs="仿宋_GB2312"/>
          <w:kern w:val="2"/>
          <w:sz w:val="32"/>
          <w:szCs w:val="32"/>
          <w:lang w:val="en-US" w:eastAsia="zh-CN" w:bidi="ar-SA"/>
        </w:rPr>
        <w:t>2</w:t>
      </w:r>
      <w:r>
        <w:rPr>
          <w:rFonts w:hint="eastAsia" w:ascii="仿宋_GB2312" w:hAnsi="黑体" w:eastAsia="仿宋_GB2312" w:cs="仿宋_GB2312"/>
          <w:kern w:val="2"/>
          <w:sz w:val="32"/>
          <w:szCs w:val="32"/>
          <w:lang w:val="en-US" w:eastAsia="zh-CN" w:bidi="ar-SA"/>
        </w:rPr>
        <w:t>年通用项目和专用项目均按要求实行绩效目标管理，涉及一般公共预算当年拨款</w:t>
      </w:r>
      <w:r>
        <w:rPr>
          <w:rFonts w:hint="eastAsia" w:hAnsi="黑体" w:cs="仿宋_GB2312"/>
          <w:kern w:val="2"/>
          <w:sz w:val="32"/>
          <w:szCs w:val="32"/>
          <w:lang w:val="en-US" w:eastAsia="zh-CN" w:bidi="ar-SA"/>
        </w:rPr>
        <w:t>472.94</w:t>
      </w:r>
      <w:r>
        <w:rPr>
          <w:rFonts w:hint="eastAsia" w:ascii="仿宋_GB2312" w:hAnsi="黑体" w:eastAsia="仿宋_GB2312" w:cs="仿宋_GB2312"/>
          <w:kern w:val="2"/>
          <w:sz w:val="32"/>
          <w:szCs w:val="32"/>
          <w:lang w:val="en-US" w:eastAsia="zh-CN" w:bidi="ar-SA"/>
        </w:rPr>
        <w:t>万元。</w:t>
      </w:r>
    </w:p>
    <w:p>
      <w:pPr>
        <w:pStyle w:val="14"/>
        <w:numPr>
          <w:ilvl w:val="0"/>
          <w:numId w:val="5"/>
        </w:numPr>
        <w:spacing w:before="0" w:line="360" w:lineRule="auto"/>
        <w:ind w:left="0" w:leftChars="0" w:firstLine="420" w:firstLineChars="0"/>
        <w:outlineLvl w:val="0"/>
        <w:rPr>
          <w:rFonts w:hint="eastAsia" w:ascii="黑体" w:hAnsi="黑体" w:eastAsia="黑体" w:cs="黑体"/>
          <w:kern w:val="2"/>
          <w:sz w:val="32"/>
          <w:szCs w:val="32"/>
        </w:rPr>
      </w:pPr>
      <w:bookmarkStart w:id="20" w:name="_Toc7092"/>
      <w:r>
        <w:rPr>
          <w:rFonts w:hint="eastAsia" w:ascii="黑体" w:hAnsi="黑体" w:eastAsia="黑体" w:cs="黑体"/>
          <w:kern w:val="2"/>
          <w:sz w:val="32"/>
          <w:szCs w:val="32"/>
        </w:rPr>
        <w:t>名词解释</w:t>
      </w:r>
      <w:bookmarkEnd w:id="20"/>
    </w:p>
    <w:p>
      <w:pPr>
        <w:pStyle w:val="14"/>
        <w:keepNext w:val="0"/>
        <w:keepLines w:val="0"/>
        <w:pageBreakBefore w:val="0"/>
        <w:widowControl w:val="0"/>
        <w:numPr>
          <w:ilvl w:val="0"/>
          <w:numId w:val="7"/>
        </w:numPr>
        <w:kinsoku/>
        <w:wordWrap/>
        <w:overflowPunct/>
        <w:topLinePunct w:val="0"/>
        <w:autoSpaceDE/>
        <w:autoSpaceDN/>
        <w:bidi w:val="0"/>
        <w:adjustRightInd/>
        <w:snapToGrid/>
        <w:spacing w:before="0" w:line="560" w:lineRule="exact"/>
        <w:ind w:firstLine="640" w:firstLineChars="200"/>
        <w:textAlignment w:val="auto"/>
        <w:outlineLvl w:val="9"/>
        <w:rPr>
          <w:rFonts w:hint="eastAsia" w:hAnsi="黑体"/>
          <w:kern w:val="2"/>
          <w:sz w:val="32"/>
          <w:szCs w:val="32"/>
        </w:rPr>
      </w:pPr>
      <w:r>
        <w:rPr>
          <w:rFonts w:hint="eastAsia" w:hAnsi="黑体"/>
          <w:kern w:val="2"/>
          <w:sz w:val="32"/>
          <w:szCs w:val="32"/>
        </w:rPr>
        <w:t>财政拨款收入：指由财政拨款形成的部门收入。按现行管理制度，部门预算中反映的财政拨款仅包括一般公共预算拨款和政府性基金预算拨款。</w:t>
      </w:r>
    </w:p>
    <w:p>
      <w:pPr>
        <w:pStyle w:val="14"/>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640" w:firstLineChars="200"/>
        <w:textAlignment w:val="auto"/>
        <w:outlineLvl w:val="9"/>
        <w:rPr>
          <w:rFonts w:hint="eastAsia" w:hAnsi="黑体" w:eastAsia="仿宋_GB2312"/>
          <w:kern w:val="2"/>
          <w:sz w:val="32"/>
          <w:szCs w:val="32"/>
          <w:lang w:eastAsia="zh-CN"/>
        </w:rPr>
      </w:pPr>
      <w:r>
        <w:rPr>
          <w:rFonts w:hint="eastAsia" w:hAnsi="黑体"/>
          <w:kern w:val="2"/>
          <w:sz w:val="32"/>
          <w:szCs w:val="32"/>
        </w:rPr>
        <w:t>（二）事业收入：指所属事业单位开展专业业务活动及辅助活动所取得的收入。</w:t>
      </w:r>
    </w:p>
    <w:p>
      <w:pPr>
        <w:pStyle w:val="14"/>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640" w:firstLineChars="200"/>
        <w:textAlignment w:val="auto"/>
        <w:outlineLvl w:val="9"/>
        <w:rPr>
          <w:rFonts w:hint="eastAsia" w:hAnsi="黑体" w:eastAsia="仿宋_GB2312"/>
          <w:kern w:val="2"/>
          <w:sz w:val="32"/>
          <w:szCs w:val="32"/>
          <w:lang w:eastAsia="zh-CN"/>
        </w:rPr>
      </w:pPr>
      <w:r>
        <w:rPr>
          <w:rFonts w:hint="eastAsia" w:hAnsi="黑体"/>
          <w:kern w:val="2"/>
          <w:sz w:val="32"/>
          <w:szCs w:val="32"/>
        </w:rPr>
        <w:t>　　（三）事业单位经营收入：指所属事业单位在专业业务活动及其辅助活动之外开展非独立核算经营活动取得的收入。</w:t>
      </w:r>
    </w:p>
    <w:p>
      <w:pPr>
        <w:pStyle w:val="14"/>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640" w:firstLineChars="200"/>
        <w:textAlignment w:val="auto"/>
        <w:outlineLvl w:val="9"/>
        <w:rPr>
          <w:rFonts w:hint="eastAsia" w:hAnsi="黑体" w:eastAsia="仿宋_GB2312"/>
          <w:kern w:val="2"/>
          <w:sz w:val="32"/>
          <w:szCs w:val="32"/>
          <w:lang w:eastAsia="zh-CN"/>
        </w:rPr>
      </w:pPr>
      <w:r>
        <w:rPr>
          <w:rFonts w:hint="eastAsia" w:hAnsi="黑体"/>
          <w:kern w:val="2"/>
          <w:sz w:val="32"/>
          <w:szCs w:val="32"/>
        </w:rPr>
        <w:t>　　（四）其他收入：指除上述</w:t>
      </w:r>
      <w:r>
        <w:rPr>
          <w:rFonts w:hAnsi="黑体" w:cs="Times New Roman"/>
          <w:kern w:val="2"/>
          <w:sz w:val="32"/>
          <w:szCs w:val="32"/>
        </w:rPr>
        <w:t>“</w:t>
      </w:r>
      <w:r>
        <w:rPr>
          <w:rFonts w:hint="eastAsia" w:hAnsi="黑体"/>
          <w:kern w:val="2"/>
          <w:sz w:val="32"/>
          <w:szCs w:val="32"/>
        </w:rPr>
        <w:t>财政拨款收入</w:t>
      </w:r>
      <w:r>
        <w:rPr>
          <w:rFonts w:hAnsi="黑体" w:cs="Times New Roman"/>
          <w:kern w:val="2"/>
          <w:sz w:val="32"/>
          <w:szCs w:val="32"/>
        </w:rPr>
        <w:t>”</w:t>
      </w:r>
      <w:r>
        <w:rPr>
          <w:rFonts w:hint="eastAsia" w:hAnsi="黑体"/>
          <w:kern w:val="2"/>
          <w:sz w:val="32"/>
          <w:szCs w:val="32"/>
        </w:rPr>
        <w:t>、</w:t>
      </w:r>
      <w:r>
        <w:rPr>
          <w:rFonts w:hAnsi="黑体" w:cs="Times New Roman"/>
          <w:kern w:val="2"/>
          <w:sz w:val="32"/>
          <w:szCs w:val="32"/>
        </w:rPr>
        <w:t>“</w:t>
      </w:r>
      <w:r>
        <w:rPr>
          <w:rFonts w:hint="eastAsia" w:hAnsi="黑体"/>
          <w:kern w:val="2"/>
          <w:sz w:val="32"/>
          <w:szCs w:val="32"/>
        </w:rPr>
        <w:t>事业收入</w:t>
      </w:r>
      <w:r>
        <w:rPr>
          <w:rFonts w:hAnsi="黑体" w:cs="Times New Roman"/>
          <w:kern w:val="2"/>
          <w:sz w:val="32"/>
          <w:szCs w:val="32"/>
        </w:rPr>
        <w:t>”</w:t>
      </w:r>
      <w:r>
        <w:rPr>
          <w:rFonts w:hint="eastAsia" w:hAnsi="黑体"/>
          <w:kern w:val="2"/>
          <w:sz w:val="32"/>
          <w:szCs w:val="32"/>
        </w:rPr>
        <w:t>、</w:t>
      </w:r>
      <w:r>
        <w:rPr>
          <w:rFonts w:hAnsi="黑体" w:cs="Times New Roman"/>
          <w:kern w:val="2"/>
          <w:sz w:val="32"/>
          <w:szCs w:val="32"/>
        </w:rPr>
        <w:t>“</w:t>
      </w:r>
      <w:r>
        <w:rPr>
          <w:rFonts w:hint="eastAsia" w:hAnsi="黑体"/>
          <w:kern w:val="2"/>
          <w:sz w:val="32"/>
          <w:szCs w:val="32"/>
        </w:rPr>
        <w:t>事业单位经营收入</w:t>
      </w:r>
      <w:r>
        <w:rPr>
          <w:rFonts w:hAnsi="黑体" w:cs="Times New Roman"/>
          <w:kern w:val="2"/>
          <w:sz w:val="32"/>
          <w:szCs w:val="32"/>
        </w:rPr>
        <w:t>”</w:t>
      </w:r>
      <w:r>
        <w:rPr>
          <w:rFonts w:hint="eastAsia" w:hAnsi="黑体"/>
          <w:kern w:val="2"/>
          <w:sz w:val="32"/>
          <w:szCs w:val="32"/>
        </w:rPr>
        <w:t>等以外的收入，主要是所属行政事业单位按规定动用的售房收入、存款利息收入等。</w:t>
      </w:r>
    </w:p>
    <w:p>
      <w:pPr>
        <w:pStyle w:val="14"/>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640" w:firstLineChars="200"/>
        <w:textAlignment w:val="auto"/>
        <w:outlineLvl w:val="9"/>
        <w:rPr>
          <w:rFonts w:hint="eastAsia" w:hAnsi="黑体" w:eastAsia="仿宋_GB2312"/>
          <w:kern w:val="2"/>
          <w:sz w:val="32"/>
          <w:szCs w:val="32"/>
          <w:lang w:eastAsia="zh-CN"/>
        </w:rPr>
      </w:pPr>
      <w:r>
        <w:rPr>
          <w:rFonts w:hint="eastAsia" w:hAnsi="黑体"/>
          <w:kern w:val="2"/>
          <w:sz w:val="32"/>
          <w:szCs w:val="32"/>
        </w:rPr>
        <w:t>　　（五）用事业基金弥补收支差额：指所属事业单位在预计用当年的</w:t>
      </w:r>
      <w:r>
        <w:rPr>
          <w:rFonts w:hAnsi="黑体" w:cs="Times New Roman"/>
          <w:kern w:val="2"/>
          <w:sz w:val="32"/>
          <w:szCs w:val="32"/>
        </w:rPr>
        <w:t>“</w:t>
      </w:r>
      <w:r>
        <w:rPr>
          <w:rFonts w:hint="eastAsia" w:hAnsi="黑体"/>
          <w:kern w:val="2"/>
          <w:sz w:val="32"/>
          <w:szCs w:val="32"/>
        </w:rPr>
        <w:t>财政拨款收入</w:t>
      </w:r>
      <w:r>
        <w:rPr>
          <w:rFonts w:hAnsi="黑体" w:cs="Times New Roman"/>
          <w:kern w:val="2"/>
          <w:sz w:val="32"/>
          <w:szCs w:val="32"/>
        </w:rPr>
        <w:t>”</w:t>
      </w:r>
      <w:r>
        <w:rPr>
          <w:rFonts w:hint="eastAsia" w:hAnsi="黑体"/>
          <w:kern w:val="2"/>
          <w:sz w:val="32"/>
          <w:szCs w:val="32"/>
        </w:rPr>
        <w:t>、</w:t>
      </w:r>
      <w:r>
        <w:rPr>
          <w:rFonts w:hAnsi="黑体" w:cs="Times New Roman"/>
          <w:kern w:val="2"/>
          <w:sz w:val="32"/>
          <w:szCs w:val="32"/>
        </w:rPr>
        <w:t>“</w:t>
      </w:r>
      <w:r>
        <w:rPr>
          <w:rFonts w:hint="eastAsia" w:hAnsi="黑体"/>
          <w:kern w:val="2"/>
          <w:sz w:val="32"/>
          <w:szCs w:val="32"/>
        </w:rPr>
        <w:t>事业收入</w:t>
      </w:r>
      <w:r>
        <w:rPr>
          <w:rFonts w:hAnsi="黑体" w:cs="Times New Roman"/>
          <w:kern w:val="2"/>
          <w:sz w:val="32"/>
          <w:szCs w:val="32"/>
        </w:rPr>
        <w:t>”</w:t>
      </w:r>
      <w:r>
        <w:rPr>
          <w:rFonts w:hint="eastAsia" w:hAnsi="黑体"/>
          <w:kern w:val="2"/>
          <w:sz w:val="32"/>
          <w:szCs w:val="32"/>
        </w:rPr>
        <w:t>、</w:t>
      </w:r>
      <w:r>
        <w:rPr>
          <w:rFonts w:hAnsi="黑体" w:cs="Times New Roman"/>
          <w:kern w:val="2"/>
          <w:sz w:val="32"/>
          <w:szCs w:val="32"/>
        </w:rPr>
        <w:t>“</w:t>
      </w:r>
      <w:r>
        <w:rPr>
          <w:rFonts w:hint="eastAsia" w:hAnsi="黑体"/>
          <w:kern w:val="2"/>
          <w:sz w:val="32"/>
          <w:szCs w:val="32"/>
        </w:rPr>
        <w:t>事业单位经营收入</w:t>
      </w:r>
      <w:r>
        <w:rPr>
          <w:rFonts w:hAnsi="黑体" w:cs="Times New Roman"/>
          <w:kern w:val="2"/>
          <w:sz w:val="32"/>
          <w:szCs w:val="32"/>
        </w:rPr>
        <w:t>”</w:t>
      </w:r>
      <w:r>
        <w:rPr>
          <w:rFonts w:hint="eastAsia" w:hAnsi="黑体"/>
          <w:kern w:val="2"/>
          <w:sz w:val="32"/>
          <w:szCs w:val="32"/>
        </w:rPr>
        <w:t>、</w:t>
      </w:r>
      <w:r>
        <w:rPr>
          <w:rFonts w:hAnsi="黑体" w:cs="Times New Roman"/>
          <w:kern w:val="2"/>
          <w:sz w:val="32"/>
          <w:szCs w:val="32"/>
        </w:rPr>
        <w:t>“</w:t>
      </w:r>
      <w:r>
        <w:rPr>
          <w:rFonts w:hint="eastAsia" w:hAnsi="黑体"/>
          <w:kern w:val="2"/>
          <w:sz w:val="32"/>
          <w:szCs w:val="32"/>
        </w:rPr>
        <w:t>其他收入</w:t>
      </w:r>
      <w:r>
        <w:rPr>
          <w:rFonts w:hAnsi="黑体" w:cs="Times New Roman"/>
          <w:kern w:val="2"/>
          <w:sz w:val="32"/>
          <w:szCs w:val="32"/>
        </w:rPr>
        <w:t>”</w:t>
      </w:r>
      <w:r>
        <w:rPr>
          <w:rFonts w:hint="eastAsia" w:hAnsi="黑体"/>
          <w:kern w:val="2"/>
          <w:sz w:val="32"/>
          <w:szCs w:val="32"/>
        </w:rPr>
        <w:t>不足以安排当年支出的情况下，使用以前年度积累的事业基金弥补本年度收支缺口的资金。</w:t>
      </w:r>
    </w:p>
    <w:p>
      <w:pPr>
        <w:pStyle w:val="14"/>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640" w:firstLineChars="200"/>
        <w:textAlignment w:val="auto"/>
        <w:outlineLvl w:val="9"/>
        <w:rPr>
          <w:rFonts w:hAnsi="黑体" w:cs="Times New Roman"/>
          <w:kern w:val="2"/>
          <w:sz w:val="32"/>
          <w:szCs w:val="32"/>
        </w:rPr>
      </w:pPr>
      <w:r>
        <w:rPr>
          <w:rFonts w:hint="eastAsia" w:hAnsi="黑体"/>
          <w:kern w:val="2"/>
          <w:sz w:val="32"/>
          <w:szCs w:val="32"/>
        </w:rPr>
        <w:t>　　（六）上年结转：指所属行政事业单位以前年度尚未完成、结转至本年按原规定用途继续使用的资金和以前年度已完成项目剩余资金经批准用于新用途使用的资金。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s="Times New Roman"/>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仿宋简体">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ACE00A"/>
    <w:multiLevelType w:val="singleLevel"/>
    <w:tmpl w:val="A4ACE00A"/>
    <w:lvl w:ilvl="0" w:tentative="0">
      <w:start w:val="1"/>
      <w:numFmt w:val="chineseCounting"/>
      <w:suff w:val="nothing"/>
      <w:lvlText w:val="%1、"/>
      <w:lvlJc w:val="left"/>
      <w:rPr>
        <w:rFonts w:hint="eastAsia"/>
      </w:rPr>
    </w:lvl>
  </w:abstractNum>
  <w:abstractNum w:abstractNumId="1">
    <w:nsid w:val="DD891DFD"/>
    <w:multiLevelType w:val="singleLevel"/>
    <w:tmpl w:val="DD891DFD"/>
    <w:lvl w:ilvl="0" w:tentative="0">
      <w:start w:val="8"/>
      <w:numFmt w:val="chineseCounting"/>
      <w:suff w:val="nothing"/>
      <w:lvlText w:val="%1、"/>
      <w:lvlJc w:val="left"/>
      <w:rPr>
        <w:rFonts w:hint="eastAsia"/>
      </w:rPr>
    </w:lvl>
  </w:abstractNum>
  <w:abstractNum w:abstractNumId="2">
    <w:nsid w:val="1CEBFF56"/>
    <w:multiLevelType w:val="singleLevel"/>
    <w:tmpl w:val="1CEBFF56"/>
    <w:lvl w:ilvl="0" w:tentative="0">
      <w:start w:val="2"/>
      <w:numFmt w:val="decimal"/>
      <w:suff w:val="nothing"/>
      <w:lvlText w:val="%1．"/>
      <w:lvlJc w:val="left"/>
    </w:lvl>
  </w:abstractNum>
  <w:abstractNum w:abstractNumId="3">
    <w:nsid w:val="35FDC0C9"/>
    <w:multiLevelType w:val="singleLevel"/>
    <w:tmpl w:val="35FDC0C9"/>
    <w:lvl w:ilvl="0" w:tentative="0">
      <w:start w:val="1"/>
      <w:numFmt w:val="chineseCounting"/>
      <w:suff w:val="nothing"/>
      <w:lvlText w:val="（%1）"/>
      <w:lvlJc w:val="left"/>
      <w:rPr>
        <w:rFonts w:hint="eastAsia"/>
      </w:rPr>
    </w:lvl>
  </w:abstractNum>
  <w:abstractNum w:abstractNumId="4">
    <w:nsid w:val="44EF1376"/>
    <w:multiLevelType w:val="singleLevel"/>
    <w:tmpl w:val="44EF1376"/>
    <w:lvl w:ilvl="0" w:tentative="0">
      <w:start w:val="4"/>
      <w:numFmt w:val="chineseCounting"/>
      <w:suff w:val="nothing"/>
      <w:lvlText w:val="%1、"/>
      <w:lvlJc w:val="left"/>
      <w:rPr>
        <w:rFonts w:hint="eastAsia"/>
      </w:rPr>
    </w:lvl>
  </w:abstractNum>
  <w:abstractNum w:abstractNumId="5">
    <w:nsid w:val="5EC421B4"/>
    <w:multiLevelType w:val="singleLevel"/>
    <w:tmpl w:val="5EC421B4"/>
    <w:lvl w:ilvl="0" w:tentative="0">
      <w:start w:val="1"/>
      <w:numFmt w:val="chineseCounting"/>
      <w:suff w:val="nothing"/>
      <w:lvlText w:val="（%1）"/>
      <w:lvlJc w:val="left"/>
      <w:rPr>
        <w:rFonts w:hint="eastAsia"/>
      </w:rPr>
    </w:lvl>
  </w:abstractNum>
  <w:abstractNum w:abstractNumId="6">
    <w:nsid w:val="6A6F0DA1"/>
    <w:multiLevelType w:val="singleLevel"/>
    <w:tmpl w:val="6A6F0DA1"/>
    <w:lvl w:ilvl="0" w:tentative="0">
      <w:start w:val="1"/>
      <w:numFmt w:val="chineseCounting"/>
      <w:suff w:val="nothing"/>
      <w:lvlText w:val="（%1）"/>
      <w:lvlJc w:val="left"/>
      <w:rPr>
        <w:rFonts w:hint="eastAsia"/>
      </w:r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hZDZjZWM1ZTRkYzU4MzM1MDI2MGY0YTg2MTk4MzgifQ=="/>
  </w:docVars>
  <w:rsids>
    <w:rsidRoot w:val="00352854"/>
    <w:rsid w:val="000319A8"/>
    <w:rsid w:val="00085137"/>
    <w:rsid w:val="00097A74"/>
    <w:rsid w:val="00117BCC"/>
    <w:rsid w:val="00260082"/>
    <w:rsid w:val="00352854"/>
    <w:rsid w:val="003762A5"/>
    <w:rsid w:val="00471829"/>
    <w:rsid w:val="0047755A"/>
    <w:rsid w:val="00484AEB"/>
    <w:rsid w:val="00527A2C"/>
    <w:rsid w:val="0063440F"/>
    <w:rsid w:val="00681CB7"/>
    <w:rsid w:val="00685286"/>
    <w:rsid w:val="007B3677"/>
    <w:rsid w:val="007C7CD1"/>
    <w:rsid w:val="007E2264"/>
    <w:rsid w:val="008F63EB"/>
    <w:rsid w:val="00987B5A"/>
    <w:rsid w:val="009C5F76"/>
    <w:rsid w:val="00A55379"/>
    <w:rsid w:val="00B713B0"/>
    <w:rsid w:val="00C0348B"/>
    <w:rsid w:val="00C451EA"/>
    <w:rsid w:val="00C8183B"/>
    <w:rsid w:val="00D05C51"/>
    <w:rsid w:val="00D239DB"/>
    <w:rsid w:val="00EF71D0"/>
    <w:rsid w:val="00F743F0"/>
    <w:rsid w:val="00F806C0"/>
    <w:rsid w:val="00F80C32"/>
    <w:rsid w:val="00FF11B9"/>
    <w:rsid w:val="085B0879"/>
    <w:rsid w:val="0A5E00FF"/>
    <w:rsid w:val="0C391A34"/>
    <w:rsid w:val="28434B2F"/>
    <w:rsid w:val="2B09242F"/>
    <w:rsid w:val="343E1548"/>
    <w:rsid w:val="35340C50"/>
    <w:rsid w:val="3B965969"/>
    <w:rsid w:val="405E5289"/>
    <w:rsid w:val="4D3C7E5E"/>
    <w:rsid w:val="50424919"/>
    <w:rsid w:val="51D21EA1"/>
    <w:rsid w:val="5B5456E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10">
    <w:name w:val="Default Paragraph Font"/>
    <w:semiHidden/>
    <w:uiPriority w:val="99"/>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华文中宋"/>
      <w:sz w:val="96"/>
      <w:u w:val="thick"/>
    </w:rPr>
  </w:style>
  <w:style w:type="paragraph" w:styleId="3">
    <w:name w:val="Body Text Indent"/>
    <w:basedOn w:val="1"/>
    <w:qFormat/>
    <w:uiPriority w:val="0"/>
    <w:pPr>
      <w:ind w:left="-615" w:leftChars="-293" w:firstLine="1285" w:firstLineChars="400"/>
    </w:pPr>
    <w:rPr>
      <w:rFonts w:ascii="方正仿宋简体" w:eastAsia="方正仿宋简体"/>
      <w:b/>
      <w:bCs/>
    </w:rPr>
  </w:style>
  <w:style w:type="paragraph" w:styleId="4">
    <w:name w:val="footer"/>
    <w:basedOn w:val="1"/>
    <w:link w:val="12"/>
    <w:semiHidden/>
    <w:qFormat/>
    <w:uiPriority w:val="99"/>
    <w:pPr>
      <w:tabs>
        <w:tab w:val="center" w:pos="4153"/>
        <w:tab w:val="right" w:pos="8306"/>
      </w:tabs>
      <w:snapToGrid w:val="0"/>
      <w:jc w:val="left"/>
    </w:pPr>
    <w:rPr>
      <w:sz w:val="18"/>
      <w:szCs w:val="18"/>
    </w:rPr>
  </w:style>
  <w:style w:type="paragraph" w:styleId="5">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locked/>
    <w:uiPriority w:val="0"/>
  </w:style>
  <w:style w:type="paragraph" w:styleId="7">
    <w:name w:val="toc 2"/>
    <w:basedOn w:val="1"/>
    <w:next w:val="1"/>
    <w:qFormat/>
    <w:locked/>
    <w:uiPriority w:val="0"/>
    <w:pPr>
      <w:ind w:left="420" w:leftChars="200"/>
    </w:pPr>
  </w:style>
  <w:style w:type="paragraph" w:styleId="8">
    <w:name w:val="Normal (Web)"/>
    <w:basedOn w:val="1"/>
    <w:next w:val="1"/>
    <w:unhideWhenUsed/>
    <w:qFormat/>
    <w:uiPriority w:val="99"/>
    <w:pPr>
      <w:spacing w:before="100" w:beforeAutospacing="1" w:after="100" w:afterAutospacing="1"/>
      <w:ind w:left="0" w:right="0"/>
      <w:jc w:val="left"/>
    </w:pPr>
    <w:rPr>
      <w:kern w:val="0"/>
      <w:sz w:val="24"/>
      <w:lang w:val="en-US" w:eastAsia="zh-CN" w:bidi="ar"/>
    </w:rPr>
  </w:style>
  <w:style w:type="character" w:styleId="11">
    <w:name w:val="Emphasis"/>
    <w:basedOn w:val="10"/>
    <w:qFormat/>
    <w:uiPriority w:val="99"/>
  </w:style>
  <w:style w:type="character" w:customStyle="1" w:styleId="12">
    <w:name w:val="页脚 Char"/>
    <w:basedOn w:val="10"/>
    <w:link w:val="4"/>
    <w:semiHidden/>
    <w:qFormat/>
    <w:locked/>
    <w:uiPriority w:val="99"/>
    <w:rPr>
      <w:sz w:val="18"/>
      <w:szCs w:val="18"/>
    </w:rPr>
  </w:style>
  <w:style w:type="character" w:customStyle="1" w:styleId="13">
    <w:name w:val="页眉 Char"/>
    <w:basedOn w:val="10"/>
    <w:link w:val="5"/>
    <w:semiHidden/>
    <w:qFormat/>
    <w:locked/>
    <w:uiPriority w:val="99"/>
    <w:rPr>
      <w:sz w:val="18"/>
      <w:szCs w:val="18"/>
    </w:rPr>
  </w:style>
  <w:style w:type="paragraph" w:customStyle="1" w:styleId="14">
    <w:name w:val="正文文本1"/>
    <w:basedOn w:val="1"/>
    <w:qFormat/>
    <w:uiPriority w:val="99"/>
    <w:pPr>
      <w:spacing w:before="93"/>
    </w:pPr>
    <w:rPr>
      <w:rFonts w:ascii="仿宋_GB2312" w:hAnsi="仿宋_GB2312" w:eastAsia="仿宋_GB2312" w:cs="仿宋_GB2312"/>
      <w:kern w:val="0"/>
      <w:sz w:val="30"/>
      <w:szCs w:val="30"/>
    </w:rPr>
  </w:style>
  <w:style w:type="character" w:customStyle="1" w:styleId="15">
    <w:name w:val="默认段落字体1"/>
    <w:qFormat/>
    <w:uiPriority w:val="99"/>
    <w:rPr>
      <w:sz w:val="22"/>
      <w:szCs w:val="22"/>
    </w:rPr>
  </w:style>
  <w:style w:type="paragraph" w:customStyle="1"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13</Pages>
  <Words>5458</Words>
  <Characters>5823</Characters>
  <Lines>17</Lines>
  <Paragraphs>5</Paragraphs>
  <TotalTime>4</TotalTime>
  <ScaleCrop>false</ScaleCrop>
  <LinksUpToDate>false</LinksUpToDate>
  <CharactersWithSpaces>5913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2017-12-15T01:50:00Z</dcterms:created>
  <dc:creator>薛永萍</dc:creator>
  <cp:lastModifiedBy>Administrator</cp:lastModifiedBy>
  <dcterms:modified xsi:type="dcterms:W3CDTF">2022-12-06T02:54:54Z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7DB832086748427AAC02F2477CC45830</vt:lpwstr>
  </property>
</Properties>
</file>