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44"/>
          <w:szCs w:val="44"/>
        </w:rPr>
      </w:pPr>
    </w:p>
    <w:p>
      <w:pPr>
        <w:rPr>
          <w:rFonts w:ascii="黑体" w:hAnsi="黑体" w:eastAsia="黑体" w:cs="Times New Roman"/>
          <w:sz w:val="44"/>
          <w:szCs w:val="44"/>
        </w:rPr>
      </w:pPr>
    </w:p>
    <w:p>
      <w:pPr>
        <w:rPr>
          <w:rFonts w:ascii="黑体" w:hAnsi="黑体" w:eastAsia="黑体" w:cs="Times New Roman"/>
          <w:sz w:val="44"/>
          <w:szCs w:val="44"/>
        </w:rPr>
      </w:pPr>
    </w:p>
    <w:p>
      <w:pPr>
        <w:rPr>
          <w:rFonts w:ascii="黑体" w:hAnsi="黑体" w:eastAsia="黑体" w:cs="Times New Roman"/>
          <w:sz w:val="44"/>
          <w:szCs w:val="44"/>
        </w:rPr>
      </w:pPr>
    </w:p>
    <w:p>
      <w:pPr>
        <w:rPr>
          <w:rFonts w:ascii="黑体" w:hAnsi="黑体" w:eastAsia="黑体" w:cs="Times New Roman"/>
          <w:sz w:val="44"/>
          <w:szCs w:val="44"/>
        </w:rPr>
      </w:pP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壤塘县人民检察院</w:t>
      </w:r>
    </w:p>
    <w:p>
      <w:pPr>
        <w:jc w:val="center"/>
        <w:rPr>
          <w:rFonts w:ascii="黑体" w:hAnsi="黑体" w:eastAsia="黑体" w:cs="Times New Roman"/>
          <w:sz w:val="72"/>
          <w:szCs w:val="72"/>
        </w:rPr>
      </w:pPr>
      <w:r>
        <w:rPr>
          <w:rFonts w:ascii="黑体" w:hAnsi="黑体" w:eastAsia="黑体" w:cs="黑体"/>
          <w:sz w:val="72"/>
          <w:szCs w:val="72"/>
        </w:rPr>
        <w:t>202</w:t>
      </w:r>
      <w:r>
        <w:rPr>
          <w:rFonts w:hint="eastAsia" w:ascii="黑体" w:hAnsi="黑体" w:eastAsia="黑体" w:cs="黑体"/>
          <w:sz w:val="72"/>
          <w:szCs w:val="72"/>
          <w:lang w:val="en-US" w:eastAsia="zh-CN"/>
        </w:rPr>
        <w:t>2</w:t>
      </w:r>
      <w:r>
        <w:rPr>
          <w:rFonts w:ascii="黑体" w:hAnsi="黑体" w:eastAsia="黑体" w:cs="黑体"/>
          <w:sz w:val="72"/>
          <w:szCs w:val="72"/>
        </w:rPr>
        <w:t>年</w:t>
      </w:r>
      <w:r>
        <w:rPr>
          <w:rFonts w:hint="eastAsia" w:ascii="黑体" w:hAnsi="黑体" w:eastAsia="黑体" w:cs="黑体"/>
          <w:sz w:val="72"/>
          <w:szCs w:val="72"/>
        </w:rPr>
        <w:t>部门预算</w:t>
      </w: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bookmarkStart w:id="21" w:name="_GoBack"/>
      <w:bookmarkEnd w:id="21"/>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52"/>
          <w:szCs w:val="52"/>
        </w:rPr>
      </w:pPr>
      <w:r>
        <w:rPr>
          <w:rFonts w:hint="eastAsia" w:ascii="黑体" w:hAnsi="黑体" w:eastAsia="黑体" w:cs="黑体"/>
          <w:sz w:val="52"/>
          <w:szCs w:val="52"/>
          <w:lang w:val="en-US" w:eastAsia="zh-CN"/>
        </w:rPr>
        <w:t>2022</w:t>
      </w:r>
      <w:r>
        <w:rPr>
          <w:rFonts w:hint="eastAsia" w:ascii="黑体" w:hAnsi="黑体" w:eastAsia="黑体" w:cs="黑体"/>
          <w:sz w:val="52"/>
          <w:szCs w:val="52"/>
        </w:rPr>
        <w:t>年</w:t>
      </w:r>
      <w:r>
        <w:rPr>
          <w:rFonts w:hint="eastAsia" w:ascii="黑体" w:hAnsi="黑体" w:eastAsia="黑体" w:cs="黑体"/>
          <w:sz w:val="52"/>
          <w:szCs w:val="52"/>
          <w:lang w:val="en-US" w:eastAsia="zh-CN"/>
        </w:rPr>
        <w:t>1</w:t>
      </w:r>
      <w:r>
        <w:rPr>
          <w:rFonts w:hint="eastAsia" w:ascii="黑体" w:hAnsi="黑体" w:eastAsia="黑体" w:cs="黑体"/>
          <w:sz w:val="52"/>
          <w:szCs w:val="52"/>
        </w:rPr>
        <w:t>月</w:t>
      </w:r>
      <w:r>
        <w:rPr>
          <w:rFonts w:ascii="黑体" w:hAnsi="黑体" w:eastAsia="黑体" w:cs="黑体"/>
          <w:sz w:val="52"/>
          <w:szCs w:val="52"/>
        </w:rPr>
        <w:t xml:space="preserve"> </w:t>
      </w:r>
      <w:r>
        <w:rPr>
          <w:rFonts w:hint="eastAsia" w:ascii="黑体" w:hAnsi="黑体" w:eastAsia="黑体" w:cs="黑体"/>
          <w:sz w:val="52"/>
          <w:szCs w:val="52"/>
          <w:lang w:val="en-US" w:eastAsia="zh-CN"/>
        </w:rPr>
        <w:t>19</w:t>
      </w:r>
      <w:r>
        <w:rPr>
          <w:rFonts w:ascii="黑体" w:hAnsi="黑体" w:eastAsia="黑体" w:cs="黑体"/>
          <w:sz w:val="52"/>
          <w:szCs w:val="52"/>
        </w:rPr>
        <w:t xml:space="preserve"> </w:t>
      </w:r>
      <w:r>
        <w:rPr>
          <w:rFonts w:hint="eastAsia" w:ascii="黑体" w:hAnsi="黑体" w:eastAsia="黑体" w:cs="黑体"/>
          <w:sz w:val="52"/>
          <w:szCs w:val="52"/>
        </w:rPr>
        <w:t>日</w:t>
      </w:r>
    </w:p>
    <w:p>
      <w:pPr>
        <w:rPr>
          <w:rFonts w:ascii="黑体" w:hAnsi="黑体" w:eastAsia="黑体" w:cs="Times New Roman"/>
          <w:sz w:val="44"/>
          <w:szCs w:val="44"/>
        </w:rPr>
      </w:pPr>
    </w:p>
    <w:p>
      <w:pPr>
        <w:rPr>
          <w:rFonts w:ascii="黑体" w:hAnsi="黑体" w:eastAsia="黑体" w:cs="Times New Roman"/>
          <w:sz w:val="44"/>
          <w:szCs w:val="44"/>
        </w:rPr>
      </w:pPr>
    </w:p>
    <w:p>
      <w:pPr>
        <w:rPr>
          <w:rFonts w:ascii="黑体" w:hAnsi="黑体" w:eastAsia="黑体" w:cs="Times New Roman"/>
          <w:sz w:val="44"/>
          <w:szCs w:val="44"/>
        </w:rPr>
      </w:pPr>
    </w:p>
    <w:p>
      <w:pPr>
        <w:rPr>
          <w:rFonts w:ascii="黑体" w:hAnsi="黑体" w:eastAsia="黑体" w:cs="Times New Roman"/>
          <w:sz w:val="44"/>
          <w:szCs w:val="44"/>
        </w:rPr>
      </w:pPr>
    </w:p>
    <w:p>
      <w:pPr>
        <w:ind w:firstLine="3120" w:firstLineChars="600"/>
        <w:rPr>
          <w:rFonts w:ascii="黑体" w:hAnsi="黑体" w:eastAsia="黑体" w:cs="Times New Roman"/>
          <w:sz w:val="52"/>
          <w:szCs w:val="52"/>
        </w:rPr>
      </w:pPr>
      <w:r>
        <w:rPr>
          <w:rFonts w:hint="eastAsia" w:ascii="黑体" w:hAnsi="黑体" w:eastAsia="黑体" w:cs="黑体"/>
          <w:sz w:val="52"/>
          <w:szCs w:val="52"/>
        </w:rPr>
        <w:t>目</w:t>
      </w:r>
      <w:r>
        <w:rPr>
          <w:rFonts w:ascii="黑体" w:hAnsi="黑体" w:eastAsia="黑体" w:cs="黑体"/>
          <w:sz w:val="52"/>
          <w:szCs w:val="52"/>
        </w:rPr>
        <w:t xml:space="preserve"> </w:t>
      </w:r>
      <w:r>
        <w:rPr>
          <w:rFonts w:hint="eastAsia" w:ascii="黑体" w:hAnsi="黑体" w:eastAsia="黑体" w:cs="黑体"/>
          <w:sz w:val="52"/>
          <w:szCs w:val="52"/>
        </w:rPr>
        <w:t>录</w:t>
      </w:r>
    </w:p>
    <w:sdt>
      <w:sdtPr>
        <w:rPr>
          <w:rFonts w:ascii="宋体" w:hAnsi="宋体" w:eastAsia="宋体" w:cs="Calibri"/>
          <w:kern w:val="2"/>
          <w:sz w:val="21"/>
          <w:szCs w:val="21"/>
          <w:lang w:val="en-US" w:eastAsia="zh-CN" w:bidi="ar-SA"/>
        </w:rPr>
        <w:id w:val="147474657"/>
        <w15:color w:val="DBDBDB"/>
        <w:docPartObj>
          <w:docPartGallery w:val="Table of Contents"/>
          <w:docPartUnique/>
        </w:docPartObj>
      </w:sdtPr>
      <w:sdtEndPr>
        <w:rPr>
          <w:rFonts w:ascii="黑体" w:hAnsi="黑体" w:eastAsia="黑体" w:cs="Times New Roman"/>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6"/>
            <w:tabs>
              <w:tab w:val="right" w:leader="dot" w:pos="8306"/>
            </w:tabs>
          </w:pPr>
          <w:r>
            <w:rPr>
              <w:rFonts w:ascii="黑体" w:hAnsi="黑体" w:eastAsia="黑体" w:cs="Times New Roman"/>
              <w:sz w:val="32"/>
              <w:szCs w:val="32"/>
            </w:rPr>
            <w:fldChar w:fldCharType="begin"/>
          </w:r>
          <w:r>
            <w:rPr>
              <w:rFonts w:ascii="黑体" w:hAnsi="黑体" w:eastAsia="黑体" w:cs="Times New Roman"/>
              <w:sz w:val="32"/>
              <w:szCs w:val="32"/>
            </w:rPr>
            <w:instrText xml:space="preserve">TOC \o "1-3" \h \u </w:instrText>
          </w:r>
          <w:r>
            <w:rPr>
              <w:rFonts w:ascii="黑体" w:hAnsi="黑体" w:eastAsia="黑体" w:cs="Times New Roman"/>
              <w:sz w:val="32"/>
              <w:szCs w:val="32"/>
            </w:rPr>
            <w:fldChar w:fldCharType="separate"/>
          </w:r>
          <w:r>
            <w:rPr>
              <w:rFonts w:ascii="黑体" w:hAnsi="黑体" w:eastAsia="黑体" w:cs="Times New Roman"/>
              <w:szCs w:val="32"/>
            </w:rPr>
            <w:fldChar w:fldCharType="begin"/>
          </w:r>
          <w:r>
            <w:rPr>
              <w:rFonts w:ascii="黑体" w:hAnsi="黑体" w:eastAsia="黑体" w:cs="Times New Roman"/>
              <w:szCs w:val="32"/>
            </w:rPr>
            <w:instrText xml:space="preserve"> HYPERLINK \l _Toc1017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 xml:space="preserve">一、 </w:t>
          </w:r>
          <w:r>
            <w:rPr>
              <w:rFonts w:hint="eastAsia" w:ascii="黑体" w:hAnsi="黑体" w:eastAsia="黑体" w:cs="黑体"/>
              <w:kern w:val="2"/>
              <w:szCs w:val="32"/>
            </w:rPr>
            <w:t>基本职能及主要工作</w:t>
          </w:r>
          <w:r>
            <w:tab/>
          </w:r>
          <w:r>
            <w:fldChar w:fldCharType="begin"/>
          </w:r>
          <w:r>
            <w:instrText xml:space="preserve"> PAGEREF _Toc1017 \h </w:instrText>
          </w:r>
          <w:r>
            <w:fldChar w:fldCharType="separate"/>
          </w:r>
          <w:r>
            <w:t>2</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_Toc3427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（一）</w:t>
          </w:r>
          <w:r>
            <w:rPr>
              <w:rFonts w:hint="eastAsia" w:ascii="楷体_GB2312" w:hAnsi="黑体" w:eastAsia="楷体_GB2312" w:cs="楷体_GB2312"/>
              <w:bCs/>
              <w:kern w:val="2"/>
              <w:szCs w:val="32"/>
              <w:lang w:eastAsia="zh-CN"/>
            </w:rPr>
            <w:t>壤塘县人民检察院</w:t>
          </w:r>
          <w:r>
            <w:rPr>
              <w:rFonts w:hint="eastAsia" w:ascii="楷体_GB2312" w:hAnsi="黑体" w:eastAsia="楷体_GB2312" w:cs="楷体_GB2312"/>
              <w:bCs/>
              <w:kern w:val="2"/>
              <w:szCs w:val="32"/>
            </w:rPr>
            <w:t>职能简介</w:t>
          </w:r>
          <w:r>
            <w:tab/>
          </w:r>
          <w:r>
            <w:fldChar w:fldCharType="begin"/>
          </w:r>
          <w:r>
            <w:instrText xml:space="preserve"> PAGEREF _Toc3427 \h </w:instrText>
          </w:r>
          <w:r>
            <w:fldChar w:fldCharType="separate"/>
          </w:r>
          <w:r>
            <w:t>2</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_Toc16562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（二）</w:t>
          </w:r>
          <w:r>
            <w:rPr>
              <w:rFonts w:hint="eastAsia" w:ascii="楷体_GB2312" w:hAnsi="黑体" w:eastAsia="楷体_GB2312" w:cs="楷体_GB2312"/>
              <w:bCs/>
              <w:kern w:val="2"/>
              <w:szCs w:val="32"/>
              <w:lang w:eastAsia="zh-CN"/>
            </w:rPr>
            <w:t>壤塘县人民检察院</w:t>
          </w:r>
          <w:r>
            <w:rPr>
              <w:rFonts w:ascii="楷体_GB2312" w:hAnsi="黑体" w:eastAsia="楷体_GB2312" w:cs="楷体_GB2312"/>
              <w:bCs/>
              <w:kern w:val="2"/>
              <w:szCs w:val="32"/>
            </w:rPr>
            <w:t>20</w:t>
          </w:r>
          <w:r>
            <w:rPr>
              <w:rFonts w:hint="eastAsia" w:ascii="楷体_GB2312" w:hAnsi="黑体" w:eastAsia="楷体_GB2312" w:cs="楷体_GB2312"/>
              <w:bCs/>
              <w:kern w:val="2"/>
              <w:szCs w:val="32"/>
            </w:rPr>
            <w:t>2</w:t>
          </w:r>
          <w:r>
            <w:rPr>
              <w:rFonts w:hint="eastAsia" w:ascii="楷体_GB2312" w:hAnsi="黑体" w:eastAsia="楷体_GB2312" w:cs="楷体_GB2312"/>
              <w:bCs/>
              <w:kern w:val="2"/>
              <w:szCs w:val="32"/>
              <w:lang w:val="en-US" w:eastAsia="zh-CN"/>
            </w:rPr>
            <w:t>2</w:t>
          </w:r>
          <w:r>
            <w:rPr>
              <w:rFonts w:ascii="楷体_GB2312" w:hAnsi="黑体" w:eastAsia="楷体_GB2312" w:cs="楷体_GB2312"/>
              <w:bCs/>
              <w:kern w:val="2"/>
              <w:szCs w:val="32"/>
            </w:rPr>
            <w:t>年</w:t>
          </w:r>
          <w:r>
            <w:rPr>
              <w:rFonts w:hint="eastAsia" w:ascii="楷体_GB2312" w:hAnsi="黑体" w:eastAsia="楷体_GB2312" w:cs="楷体_GB2312"/>
              <w:bCs/>
              <w:kern w:val="2"/>
              <w:szCs w:val="32"/>
            </w:rPr>
            <w:t>重点工作</w:t>
          </w:r>
          <w:r>
            <w:tab/>
          </w:r>
          <w:r>
            <w:fldChar w:fldCharType="begin"/>
          </w:r>
          <w:r>
            <w:instrText xml:space="preserve"> PAGEREF _Toc16562 \h </w:instrText>
          </w:r>
          <w:r>
            <w:fldChar w:fldCharType="separate"/>
          </w:r>
          <w:r>
            <w:t>4</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_Toc19284 </w:instrText>
          </w:r>
          <w:r>
            <w:rPr>
              <w:rFonts w:ascii="黑体" w:hAnsi="黑体" w:eastAsia="黑体" w:cs="Times New Roman"/>
              <w:szCs w:val="32"/>
            </w:rPr>
            <w:fldChar w:fldCharType="separate"/>
          </w:r>
          <w:r>
            <w:rPr>
              <w:rFonts w:hint="eastAsia" w:ascii="黑体" w:hAnsi="黑体" w:eastAsia="黑体" w:cs="黑体"/>
              <w:kern w:val="2"/>
              <w:szCs w:val="32"/>
            </w:rPr>
            <w:t>二、 部门预算单位构成</w:t>
          </w:r>
          <w:r>
            <w:tab/>
          </w:r>
          <w:r>
            <w:fldChar w:fldCharType="begin"/>
          </w:r>
          <w:r>
            <w:instrText xml:space="preserve"> PAGEREF _Toc19284 \h </w:instrText>
          </w:r>
          <w:r>
            <w:fldChar w:fldCharType="separate"/>
          </w:r>
          <w:r>
            <w:t>8</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_Toc17456 </w:instrText>
          </w:r>
          <w:r>
            <w:rPr>
              <w:rFonts w:ascii="黑体" w:hAnsi="黑体" w:eastAsia="黑体" w:cs="Times New Roman"/>
              <w:szCs w:val="32"/>
            </w:rPr>
            <w:fldChar w:fldCharType="separate"/>
          </w:r>
          <w:r>
            <w:rPr>
              <w:rFonts w:hint="eastAsia" w:ascii="黑体" w:hAnsi="黑体" w:eastAsia="黑体" w:cs="黑体"/>
              <w:kern w:val="2"/>
              <w:szCs w:val="32"/>
            </w:rPr>
            <w:t>三、收支预算情况说明</w:t>
          </w:r>
          <w:r>
            <w:tab/>
          </w:r>
          <w:r>
            <w:fldChar w:fldCharType="begin"/>
          </w:r>
          <w:r>
            <w:instrText xml:space="preserve"> PAGEREF _Toc17456 \h </w:instrText>
          </w:r>
          <w:r>
            <w:fldChar w:fldCharType="separate"/>
          </w:r>
          <w:r>
            <w:t>8</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_Toc15363 </w:instrText>
          </w:r>
          <w:r>
            <w:rPr>
              <w:rFonts w:ascii="黑体" w:hAnsi="黑体" w:eastAsia="黑体" w:cs="Times New Roman"/>
              <w:szCs w:val="32"/>
            </w:rPr>
            <w:fldChar w:fldCharType="separate"/>
          </w:r>
          <w:r>
            <w:rPr>
              <w:rFonts w:hint="eastAsia" w:hAnsi="黑体"/>
              <w:kern w:val="2"/>
              <w:szCs w:val="32"/>
            </w:rPr>
            <w:t xml:space="preserve">（一） </w:t>
          </w:r>
          <w:r>
            <w:rPr>
              <w:rFonts w:hint="eastAsia" w:ascii="楷体_GB2312" w:hAnsi="黑体" w:eastAsia="楷体_GB2312" w:cs="楷体_GB2312"/>
              <w:bCs/>
              <w:kern w:val="2"/>
              <w:szCs w:val="32"/>
            </w:rPr>
            <w:t>收入预算情况</w:t>
          </w:r>
          <w:r>
            <w:tab/>
          </w:r>
          <w:r>
            <w:fldChar w:fldCharType="begin"/>
          </w:r>
          <w:r>
            <w:instrText xml:space="preserve"> PAGEREF _Toc15363 \h </w:instrText>
          </w:r>
          <w:r>
            <w:fldChar w:fldCharType="separate"/>
          </w:r>
          <w:r>
            <w:t>8</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_Toc26440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（二）支出预算情况</w:t>
          </w:r>
          <w:r>
            <w:tab/>
          </w:r>
          <w:r>
            <w:fldChar w:fldCharType="begin"/>
          </w:r>
          <w:r>
            <w:instrText xml:space="preserve"> PAGEREF _Toc26440 \h </w:instrText>
          </w:r>
          <w:r>
            <w:fldChar w:fldCharType="separate"/>
          </w:r>
          <w:r>
            <w:t>9</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_Toc16236 </w:instrText>
          </w:r>
          <w:r>
            <w:rPr>
              <w:rFonts w:ascii="黑体" w:hAnsi="黑体" w:eastAsia="黑体" w:cs="Times New Roman"/>
              <w:szCs w:val="32"/>
            </w:rPr>
            <w:fldChar w:fldCharType="separate"/>
          </w:r>
          <w:r>
            <w:rPr>
              <w:rFonts w:hint="eastAsia" w:ascii="黑体" w:hAnsi="黑体" w:eastAsia="黑体" w:cs="黑体"/>
              <w:kern w:val="2"/>
              <w:szCs w:val="32"/>
            </w:rPr>
            <w:t>四、 财政拨款收支预算情况说明</w:t>
          </w:r>
          <w:r>
            <w:tab/>
          </w:r>
          <w:r>
            <w:fldChar w:fldCharType="begin"/>
          </w:r>
          <w:r>
            <w:instrText xml:space="preserve"> PAGEREF _Toc16236 \h </w:instrText>
          </w:r>
          <w:r>
            <w:fldChar w:fldCharType="separate"/>
          </w:r>
          <w:r>
            <w:t>9</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_Toc12950 </w:instrText>
          </w:r>
          <w:r>
            <w:rPr>
              <w:rFonts w:ascii="黑体" w:hAnsi="黑体" w:eastAsia="黑体" w:cs="Times New Roman"/>
              <w:szCs w:val="32"/>
            </w:rPr>
            <w:fldChar w:fldCharType="separate"/>
          </w:r>
          <w:r>
            <w:rPr>
              <w:rFonts w:hint="eastAsia" w:ascii="黑体" w:hAnsi="黑体" w:eastAsia="黑体" w:cs="黑体"/>
              <w:kern w:val="2"/>
              <w:szCs w:val="32"/>
            </w:rPr>
            <w:t>五、 一般公共预算当年拨款情况说明</w:t>
          </w:r>
          <w:r>
            <w:tab/>
          </w:r>
          <w:r>
            <w:fldChar w:fldCharType="begin"/>
          </w:r>
          <w:r>
            <w:instrText xml:space="preserve"> PAGEREF _Toc12950 \h </w:instrText>
          </w:r>
          <w:r>
            <w:fldChar w:fldCharType="separate"/>
          </w:r>
          <w:r>
            <w:t>9</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_Toc2568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（一）一般公共预算当年拨款规模变化情况</w:t>
          </w:r>
          <w:r>
            <w:tab/>
          </w:r>
          <w:r>
            <w:fldChar w:fldCharType="begin"/>
          </w:r>
          <w:r>
            <w:instrText xml:space="preserve"> PAGEREF _Toc2568 \h </w:instrText>
          </w:r>
          <w:r>
            <w:fldChar w:fldCharType="separate"/>
          </w:r>
          <w:r>
            <w:t>9</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_Toc17873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（二）一般公共预算当年拨款结构情况</w:t>
          </w:r>
          <w:r>
            <w:tab/>
          </w:r>
          <w:r>
            <w:fldChar w:fldCharType="begin"/>
          </w:r>
          <w:r>
            <w:instrText xml:space="preserve"> PAGEREF _Toc17873 \h </w:instrText>
          </w:r>
          <w:r>
            <w:fldChar w:fldCharType="separate"/>
          </w:r>
          <w:r>
            <w:t>9</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_Toc3403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（二） 一般公共预算当年拨款具体使用情况</w:t>
          </w:r>
          <w:r>
            <w:tab/>
          </w:r>
          <w:r>
            <w:fldChar w:fldCharType="begin"/>
          </w:r>
          <w:r>
            <w:instrText xml:space="preserve"> PAGEREF _Toc3403 \h </w:instrText>
          </w:r>
          <w:r>
            <w:fldChar w:fldCharType="separate"/>
          </w:r>
          <w:r>
            <w:t>9</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_Toc17102 </w:instrText>
          </w:r>
          <w:r>
            <w:rPr>
              <w:rFonts w:ascii="黑体" w:hAnsi="黑体" w:eastAsia="黑体" w:cs="Times New Roman"/>
              <w:szCs w:val="32"/>
            </w:rPr>
            <w:fldChar w:fldCharType="separate"/>
          </w:r>
          <w:r>
            <w:rPr>
              <w:rFonts w:hint="eastAsia" w:ascii="黑体" w:hAnsi="黑体" w:eastAsia="黑体" w:cs="黑体"/>
              <w:kern w:val="2"/>
              <w:szCs w:val="32"/>
            </w:rPr>
            <w:t>六、一般公共预算基本支出情况说明</w:t>
          </w:r>
          <w:r>
            <w:tab/>
          </w:r>
          <w:r>
            <w:fldChar w:fldCharType="begin"/>
          </w:r>
          <w:r>
            <w:instrText xml:space="preserve"> PAGEREF _Toc17102 \h </w:instrText>
          </w:r>
          <w:r>
            <w:fldChar w:fldCharType="separate"/>
          </w:r>
          <w:r>
            <w:t>10</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_Toc18717 </w:instrText>
          </w:r>
          <w:r>
            <w:rPr>
              <w:rFonts w:ascii="黑体" w:hAnsi="黑体" w:eastAsia="黑体" w:cs="Times New Roman"/>
              <w:szCs w:val="32"/>
            </w:rPr>
            <w:fldChar w:fldCharType="separate"/>
          </w:r>
          <w:r>
            <w:rPr>
              <w:rFonts w:hint="eastAsia" w:ascii="黑体" w:hAnsi="黑体" w:eastAsia="黑体" w:cs="Times New Roman"/>
              <w:kern w:val="2"/>
              <w:szCs w:val="32"/>
              <w:lang w:val="en-US" w:eastAsia="zh-CN"/>
            </w:rPr>
            <w:t>七、</w:t>
          </w:r>
          <w:r>
            <w:rPr>
              <w:rFonts w:ascii="黑体" w:hAnsi="黑体" w:eastAsia="黑体" w:cs="Times New Roman"/>
              <w:kern w:val="2"/>
              <w:szCs w:val="32"/>
            </w:rPr>
            <w:t>“</w:t>
          </w:r>
          <w:r>
            <w:rPr>
              <w:rFonts w:hint="eastAsia" w:ascii="黑体" w:hAnsi="黑体" w:eastAsia="黑体" w:cs="黑体"/>
              <w:kern w:val="2"/>
              <w:szCs w:val="32"/>
            </w:rPr>
            <w:t>三公</w:t>
          </w:r>
          <w:r>
            <w:rPr>
              <w:rFonts w:ascii="黑体" w:hAnsi="黑体" w:eastAsia="黑体" w:cs="Times New Roman"/>
              <w:kern w:val="2"/>
              <w:szCs w:val="32"/>
            </w:rPr>
            <w:t>”</w:t>
          </w:r>
          <w:r>
            <w:rPr>
              <w:rFonts w:hint="eastAsia" w:ascii="黑体" w:hAnsi="黑体" w:eastAsia="黑体" w:cs="黑体"/>
              <w:kern w:val="2"/>
              <w:szCs w:val="32"/>
            </w:rPr>
            <w:t>经费财政拨款预算安排情况说明</w:t>
          </w:r>
          <w:r>
            <w:tab/>
          </w:r>
          <w:r>
            <w:fldChar w:fldCharType="begin"/>
          </w:r>
          <w:r>
            <w:instrText xml:space="preserve"> PAGEREF _Toc18717 \h </w:instrText>
          </w:r>
          <w:r>
            <w:fldChar w:fldCharType="separate"/>
          </w:r>
          <w:r>
            <w:t>11</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_Toc8604 </w:instrText>
          </w:r>
          <w:r>
            <w:rPr>
              <w:rFonts w:ascii="黑体" w:hAnsi="黑体" w:eastAsia="黑体" w:cs="Times New Roman"/>
              <w:szCs w:val="32"/>
            </w:rPr>
            <w:fldChar w:fldCharType="separate"/>
          </w:r>
          <w:r>
            <w:rPr>
              <w:rFonts w:hint="eastAsia" w:ascii="黑体" w:hAnsi="黑体" w:eastAsia="黑体" w:cs="黑体"/>
              <w:kern w:val="2"/>
              <w:szCs w:val="32"/>
            </w:rPr>
            <w:t>八、 政府性基金预算支出情况说明</w:t>
          </w:r>
          <w:r>
            <w:tab/>
          </w:r>
          <w:r>
            <w:fldChar w:fldCharType="begin"/>
          </w:r>
          <w:r>
            <w:instrText xml:space="preserve"> PAGEREF _Toc8604 \h </w:instrText>
          </w:r>
          <w:r>
            <w:fldChar w:fldCharType="separate"/>
          </w:r>
          <w:r>
            <w:t>11</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_Toc30223 </w:instrText>
          </w:r>
          <w:r>
            <w:rPr>
              <w:rFonts w:ascii="黑体" w:hAnsi="黑体" w:eastAsia="黑体" w:cs="Times New Roman"/>
              <w:szCs w:val="32"/>
            </w:rPr>
            <w:fldChar w:fldCharType="separate"/>
          </w:r>
          <w:r>
            <w:rPr>
              <w:rFonts w:hint="eastAsia" w:hAnsi="黑体"/>
              <w:kern w:val="2"/>
              <w:szCs w:val="32"/>
            </w:rPr>
            <w:t xml:space="preserve">九、 </w:t>
          </w:r>
          <w:r>
            <w:rPr>
              <w:rFonts w:hint="eastAsia" w:ascii="黑体" w:hAnsi="黑体" w:eastAsia="黑体" w:cs="黑体"/>
              <w:kern w:val="2"/>
              <w:szCs w:val="32"/>
            </w:rPr>
            <w:t>其他重要事项的情况说明</w:t>
          </w:r>
          <w:r>
            <w:tab/>
          </w:r>
          <w:r>
            <w:fldChar w:fldCharType="begin"/>
          </w:r>
          <w:r>
            <w:instrText xml:space="preserve"> PAGEREF _Toc30223 \h </w:instrText>
          </w:r>
          <w:r>
            <w:fldChar w:fldCharType="separate"/>
          </w:r>
          <w:r>
            <w:t>11</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_Toc15953 </w:instrText>
          </w:r>
          <w:r>
            <w:rPr>
              <w:rFonts w:ascii="黑体" w:hAnsi="黑体" w:eastAsia="黑体" w:cs="Times New Roman"/>
              <w:szCs w:val="32"/>
            </w:rPr>
            <w:fldChar w:fldCharType="separate"/>
          </w:r>
          <w:r>
            <w:rPr>
              <w:rFonts w:hint="eastAsia" w:ascii="楷体_GB2312" w:hAnsi="黑体" w:eastAsia="楷体_GB2312" w:cs="Times New Roman"/>
              <w:bCs/>
              <w:kern w:val="2"/>
              <w:szCs w:val="32"/>
            </w:rPr>
            <w:t xml:space="preserve">（一） </w:t>
          </w:r>
          <w:r>
            <w:rPr>
              <w:rFonts w:hint="eastAsia" w:ascii="楷体_GB2312" w:hAnsi="黑体" w:eastAsia="楷体_GB2312" w:cs="楷体_GB2312"/>
              <w:bCs/>
              <w:kern w:val="2"/>
              <w:szCs w:val="32"/>
            </w:rPr>
            <w:t>机关运行经</w:t>
          </w:r>
          <w:r>
            <w:rPr>
              <w:rFonts w:hint="eastAsia" w:ascii="楷体_GB2312" w:hAnsi="黑体" w:eastAsia="楷体_GB2312" w:cs="楷体_GB2312"/>
              <w:bCs/>
              <w:kern w:val="2"/>
              <w:szCs w:val="32"/>
              <w:lang w:val="en-US" w:eastAsia="zh-CN"/>
            </w:rPr>
            <w:t>费</w:t>
          </w:r>
          <w:r>
            <w:tab/>
          </w:r>
          <w:r>
            <w:fldChar w:fldCharType="begin"/>
          </w:r>
          <w:r>
            <w:instrText xml:space="preserve"> PAGEREF _Toc15953 \h </w:instrText>
          </w:r>
          <w:r>
            <w:fldChar w:fldCharType="separate"/>
          </w:r>
          <w:r>
            <w:t>11</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_Toc13925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（二） 政府采购情况</w:t>
          </w:r>
          <w:r>
            <w:tab/>
          </w:r>
          <w:r>
            <w:fldChar w:fldCharType="begin"/>
          </w:r>
          <w:r>
            <w:instrText xml:space="preserve"> PAGEREF _Toc13925 \h </w:instrText>
          </w:r>
          <w:r>
            <w:fldChar w:fldCharType="separate"/>
          </w:r>
          <w:r>
            <w:t>12</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_Toc13964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（三） 国有资产占有使用情况</w:t>
          </w:r>
          <w:r>
            <w:tab/>
          </w:r>
          <w:r>
            <w:fldChar w:fldCharType="begin"/>
          </w:r>
          <w:r>
            <w:instrText xml:space="preserve"> PAGEREF _Toc13964 \h </w:instrText>
          </w:r>
          <w:r>
            <w:fldChar w:fldCharType="separate"/>
          </w:r>
          <w:r>
            <w:t>12</w:t>
          </w:r>
          <w:r>
            <w:fldChar w:fldCharType="end"/>
          </w:r>
          <w:r>
            <w:rPr>
              <w:rFonts w:ascii="黑体" w:hAnsi="黑体" w:eastAsia="黑体" w:cs="Times New Roman"/>
              <w:szCs w:val="32"/>
            </w:rPr>
            <w:fldChar w:fldCharType="end"/>
          </w:r>
        </w:p>
        <w:p>
          <w:pPr>
            <w:pStyle w:val="7"/>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_Toc11297 </w:instrText>
          </w:r>
          <w:r>
            <w:rPr>
              <w:rFonts w:ascii="黑体" w:hAnsi="黑体" w:eastAsia="黑体" w:cs="Times New Roman"/>
              <w:szCs w:val="32"/>
            </w:rPr>
            <w:fldChar w:fldCharType="separate"/>
          </w:r>
          <w:r>
            <w:rPr>
              <w:rFonts w:hint="eastAsia" w:ascii="楷体_GB2312" w:hAnsi="黑体" w:eastAsia="楷体_GB2312" w:cs="楷体_GB2312"/>
              <w:bCs/>
              <w:kern w:val="2"/>
              <w:szCs w:val="32"/>
            </w:rPr>
            <w:t>（四） 绩效目标设置情况</w:t>
          </w:r>
          <w:r>
            <w:tab/>
          </w:r>
          <w:r>
            <w:fldChar w:fldCharType="begin"/>
          </w:r>
          <w:r>
            <w:instrText xml:space="preserve"> PAGEREF _Toc11297 \h </w:instrText>
          </w:r>
          <w:r>
            <w:fldChar w:fldCharType="separate"/>
          </w:r>
          <w:r>
            <w:t>12</w:t>
          </w:r>
          <w:r>
            <w:fldChar w:fldCharType="end"/>
          </w:r>
          <w:r>
            <w:rPr>
              <w:rFonts w:ascii="黑体" w:hAnsi="黑体" w:eastAsia="黑体" w:cs="Times New Roman"/>
              <w:szCs w:val="32"/>
            </w:rPr>
            <w:fldChar w:fldCharType="end"/>
          </w:r>
        </w:p>
        <w:p>
          <w:pPr>
            <w:pStyle w:val="6"/>
            <w:tabs>
              <w:tab w:val="right" w:leader="dot" w:pos="8306"/>
            </w:tabs>
          </w:pPr>
          <w:r>
            <w:rPr>
              <w:rFonts w:ascii="黑体" w:hAnsi="黑体" w:eastAsia="黑体" w:cs="Times New Roman"/>
              <w:szCs w:val="32"/>
            </w:rPr>
            <w:fldChar w:fldCharType="begin"/>
          </w:r>
          <w:r>
            <w:rPr>
              <w:rFonts w:ascii="黑体" w:hAnsi="黑体" w:eastAsia="黑体" w:cs="Times New Roman"/>
              <w:szCs w:val="32"/>
            </w:rPr>
            <w:instrText xml:space="preserve"> HYPERLINK \l _Toc7092 </w:instrText>
          </w:r>
          <w:r>
            <w:rPr>
              <w:rFonts w:ascii="黑体" w:hAnsi="黑体" w:eastAsia="黑体" w:cs="Times New Roman"/>
              <w:szCs w:val="32"/>
            </w:rPr>
            <w:fldChar w:fldCharType="separate"/>
          </w:r>
          <w:r>
            <w:rPr>
              <w:rFonts w:hint="eastAsia" w:ascii="黑体" w:hAnsi="黑体" w:eastAsia="黑体" w:cs="黑体"/>
              <w:kern w:val="2"/>
              <w:szCs w:val="32"/>
            </w:rPr>
            <w:t>十、 名词解释</w:t>
          </w:r>
          <w:r>
            <w:tab/>
          </w:r>
          <w:r>
            <w:fldChar w:fldCharType="begin"/>
          </w:r>
          <w:r>
            <w:instrText xml:space="preserve"> PAGEREF _Toc7092 \h </w:instrText>
          </w:r>
          <w:r>
            <w:fldChar w:fldCharType="separate"/>
          </w:r>
          <w:r>
            <w:t>12</w:t>
          </w:r>
          <w:r>
            <w:fldChar w:fldCharType="end"/>
          </w:r>
          <w:r>
            <w:rPr>
              <w:rFonts w:ascii="黑体" w:hAnsi="黑体" w:eastAsia="黑体" w:cs="Times New Roman"/>
              <w:szCs w:val="32"/>
            </w:rPr>
            <w:fldChar w:fldCharType="end"/>
          </w:r>
        </w:p>
        <w:p>
          <w:pPr>
            <w:rPr>
              <w:rFonts w:ascii="黑体" w:hAnsi="黑体" w:eastAsia="黑体" w:cs="Times New Roman"/>
              <w:sz w:val="32"/>
              <w:szCs w:val="32"/>
            </w:rPr>
          </w:pPr>
          <w:r>
            <w:rPr>
              <w:rFonts w:ascii="黑体" w:hAnsi="黑体" w:eastAsia="黑体" w:cs="Times New Roman"/>
              <w:szCs w:val="32"/>
            </w:rPr>
            <w:fldChar w:fldCharType="end"/>
          </w:r>
        </w:p>
      </w:sdtContent>
    </w:sdt>
    <w:p>
      <w:r>
        <w:rPr>
          <w:rFonts w:ascii="??" w:hAnsi="??" w:cs="??"/>
          <w:kern w:val="0"/>
          <w:sz w:val="12"/>
          <w:szCs w:val="12"/>
        </w:rPr>
        <w:br w:type="page"/>
      </w:r>
    </w:p>
    <w:p>
      <w:pPr>
        <w:pStyle w:val="14"/>
        <w:numPr>
          <w:ilvl w:val="0"/>
          <w:numId w:val="1"/>
        </w:numPr>
        <w:spacing w:before="0" w:line="360" w:lineRule="auto"/>
        <w:ind w:firstLine="627" w:firstLineChars="196"/>
        <w:outlineLvl w:val="0"/>
        <w:rPr>
          <w:rFonts w:hint="eastAsia" w:ascii="楷体_GB2312" w:hAnsi="黑体" w:eastAsia="楷体_GB2312" w:cs="楷体_GB2312"/>
          <w:b/>
          <w:bCs/>
          <w:kern w:val="2"/>
          <w:sz w:val="32"/>
          <w:szCs w:val="32"/>
        </w:rPr>
      </w:pPr>
      <w:bookmarkStart w:id="0" w:name="_Toc1017"/>
      <w:r>
        <w:rPr>
          <w:rFonts w:hint="eastAsia" w:ascii="黑体" w:hAnsi="黑体" w:eastAsia="黑体" w:cs="黑体"/>
          <w:kern w:val="2"/>
          <w:sz w:val="32"/>
          <w:szCs w:val="32"/>
        </w:rPr>
        <w:t>基本职能及主要工作</w:t>
      </w:r>
      <w:bookmarkEnd w:id="0"/>
    </w:p>
    <w:p>
      <w:pPr>
        <w:pStyle w:val="14"/>
        <w:numPr>
          <w:ilvl w:val="0"/>
          <w:numId w:val="0"/>
        </w:numPr>
        <w:spacing w:before="0" w:line="360" w:lineRule="auto"/>
        <w:outlineLvl w:val="1"/>
        <w:rPr>
          <w:rFonts w:hint="eastAsia" w:ascii="楷体_GB2312" w:hAnsi="黑体" w:eastAsia="楷体_GB2312" w:cs="楷体_GB2312"/>
          <w:b/>
          <w:bCs/>
          <w:kern w:val="2"/>
          <w:sz w:val="32"/>
          <w:szCs w:val="32"/>
        </w:rPr>
      </w:pPr>
      <w:bookmarkStart w:id="1" w:name="_Toc3427"/>
      <w:r>
        <w:rPr>
          <w:rFonts w:hint="eastAsia" w:ascii="楷体_GB2312" w:hAnsi="黑体" w:eastAsia="楷体_GB2312" w:cs="楷体_GB2312"/>
          <w:b/>
          <w:bCs/>
          <w:kern w:val="2"/>
          <w:sz w:val="32"/>
          <w:szCs w:val="32"/>
        </w:rPr>
        <w:t>（一）</w:t>
      </w:r>
      <w:r>
        <w:rPr>
          <w:rFonts w:hint="eastAsia" w:ascii="楷体_GB2312" w:hAnsi="黑体" w:eastAsia="楷体_GB2312" w:cs="楷体_GB2312"/>
          <w:b/>
          <w:bCs/>
          <w:kern w:val="2"/>
          <w:sz w:val="32"/>
          <w:szCs w:val="32"/>
          <w:lang w:eastAsia="zh-CN"/>
        </w:rPr>
        <w:t>壤塘县人民检察院</w:t>
      </w:r>
      <w:r>
        <w:rPr>
          <w:rFonts w:hint="eastAsia" w:ascii="楷体_GB2312" w:hAnsi="黑体" w:eastAsia="楷体_GB2312" w:cs="楷体_GB2312"/>
          <w:b/>
          <w:bCs/>
          <w:kern w:val="2"/>
          <w:sz w:val="32"/>
          <w:szCs w:val="32"/>
        </w:rPr>
        <w:t>职能简介</w:t>
      </w:r>
      <w:bookmarkEnd w:id="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深入贯彻习近平新时代中国特色社会主义思想，深入贯彻党的路线方针政策和决策部署，统一检察队伍思想和行动，坚持党对检察工作的绝对领导，坚决维护习近平总书记的核心地位，坚决维护党中央权威和集中统一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2.依法向壤塘县人民代表大会及其常务委员会提出议案。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3.按照上级检察机关确定的工作方针，研究制定壤塘县人民检察院检察工作规划，部署检察工作任务。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4.依照法律规定，对由壤塘县人民检察院直接受理的刑事案件行使侦查权。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5.对刑事案件依法审查批准逮捕、决定逮捕、提起公诉。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6.负责应由壤塘县人民检察院承办的刑事、民事、行政诉讼活动及刑事、民事、行政判决和裁定等生效法律文书执行的法律监督工作。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7.负责应由壤塘县人民检察院承办的提起公益诉讼工作。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8.负责应由壤塘县人民检察院承办的对监狱、看守所等执法活动的法律监督工作。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9.受理向壤塘县人民检察院的控告申诉。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10.开展检察机关的理论研究工作。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11.负责壤塘县人民检察院队伍建设和思想政治工作。依法管理检察官及其他检察人员的工作，协同地方主管部门管理人民检察院的机构设置及人员编制，制定相关人员管理办法，组织开展壤塘县人民检察院教育培训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12.协同地方党委主管部门管理和考核除检察长和其他领导班子成员以外的检察机关工作人员。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13.开展壤塘县人民检察院的检务督察工作。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14.开展壤塘县人民检察院的财务装备、检察技术信息工作。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05" w:beforeAutospacing="0" w:after="105" w:afterAutospacing="0" w:line="560" w:lineRule="exact"/>
        <w:ind w:left="0" w:right="0" w:firstLine="640" w:firstLineChars="200"/>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15.负责其他应由壤塘县人民检察院承办的事项。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105" w:beforeAutospacing="0" w:after="105" w:afterAutospacing="0" w:line="30" w:lineRule="atLeast"/>
        <w:ind w:left="0" w:right="0" w:firstLine="420"/>
        <w:outlineLvl w:val="1"/>
        <w:rPr>
          <w:rFonts w:hint="eastAsia" w:ascii="楷体_GB2312" w:hAnsi="黑体" w:eastAsia="楷体_GB2312" w:cs="楷体_GB2312"/>
          <w:b/>
          <w:bCs/>
          <w:kern w:val="2"/>
          <w:sz w:val="32"/>
          <w:szCs w:val="32"/>
        </w:rPr>
      </w:pPr>
      <w:bookmarkStart w:id="2" w:name="_Toc16562"/>
      <w:r>
        <w:rPr>
          <w:rFonts w:hint="eastAsia" w:ascii="楷体_GB2312" w:hAnsi="黑体" w:eastAsia="楷体_GB2312" w:cs="楷体_GB2312"/>
          <w:b/>
          <w:bCs/>
          <w:kern w:val="2"/>
          <w:sz w:val="32"/>
          <w:szCs w:val="32"/>
        </w:rPr>
        <w:t>（二）</w:t>
      </w:r>
      <w:r>
        <w:rPr>
          <w:rFonts w:hint="eastAsia" w:ascii="楷体_GB2312" w:hAnsi="黑体" w:eastAsia="楷体_GB2312" w:cs="楷体_GB2312"/>
          <w:b/>
          <w:bCs/>
          <w:kern w:val="2"/>
          <w:sz w:val="32"/>
          <w:szCs w:val="32"/>
          <w:lang w:eastAsia="zh-CN"/>
        </w:rPr>
        <w:t>壤塘县人民检察院</w:t>
      </w:r>
      <w:r>
        <w:rPr>
          <w:rFonts w:ascii="楷体_GB2312" w:hAnsi="黑体" w:eastAsia="楷体_GB2312" w:cs="楷体_GB2312"/>
          <w:b/>
          <w:bCs/>
          <w:kern w:val="2"/>
          <w:sz w:val="32"/>
          <w:szCs w:val="32"/>
        </w:rPr>
        <w:t>20</w:t>
      </w:r>
      <w:r>
        <w:rPr>
          <w:rFonts w:hint="eastAsia" w:ascii="楷体_GB2312" w:hAnsi="黑体" w:eastAsia="楷体_GB2312" w:cs="楷体_GB2312"/>
          <w:b/>
          <w:bCs/>
          <w:kern w:val="2"/>
          <w:sz w:val="32"/>
          <w:szCs w:val="32"/>
        </w:rPr>
        <w:t>2</w:t>
      </w:r>
      <w:r>
        <w:rPr>
          <w:rFonts w:hint="eastAsia" w:ascii="楷体_GB2312" w:hAnsi="黑体" w:eastAsia="楷体_GB2312" w:cs="楷体_GB2312"/>
          <w:b/>
          <w:bCs/>
          <w:kern w:val="2"/>
          <w:sz w:val="32"/>
          <w:szCs w:val="32"/>
          <w:lang w:val="en-US" w:eastAsia="zh-CN"/>
        </w:rPr>
        <w:t>2</w:t>
      </w:r>
      <w:r>
        <w:rPr>
          <w:rFonts w:ascii="楷体_GB2312" w:hAnsi="黑体" w:eastAsia="楷体_GB2312" w:cs="楷体_GB2312"/>
          <w:b/>
          <w:bCs/>
          <w:kern w:val="2"/>
          <w:sz w:val="32"/>
          <w:szCs w:val="32"/>
        </w:rPr>
        <w:t>年</w:t>
      </w:r>
      <w:r>
        <w:rPr>
          <w:rFonts w:hint="eastAsia" w:ascii="楷体_GB2312" w:hAnsi="黑体" w:eastAsia="楷体_GB2312" w:cs="楷体_GB2312"/>
          <w:b/>
          <w:bCs/>
          <w:kern w:val="2"/>
          <w:sz w:val="32"/>
          <w:szCs w:val="32"/>
        </w:rPr>
        <w:t>重点工作</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2022年，我院将以效能建设为重点，全面落实《中共中央关于加强新时代检察机关法律监督工作的意见》的部署要求，牢固树立“一家人、一条心、一盘棋、一起拼”理念，坚持“1396”工作思路，聚焦为大局服务、为人民司法，全面协调充分履行法律监督职能，切实维护司法公正，力争在2022年脱掉“相对薄弱基层院”帽子，在2023年迈入全州先进行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（一）综合用好检察职能，服务保障“155”发展战略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积极推进基层治理。把抓好办案作为检察机关参与社会治理最直接、最根本的途径，始终保持对影响人民群众生命财产安全的多发性犯罪的高压态势和打击力度，重点打击涉枪涉爆、偷牛盗马、故意伤害、聚众斗殴等突出违法犯罪。建立健全风险预警和分类处置机制，提高突发公共事件的司法应对水平，对涉嫌犯罪的坚决严厉打击。落实宽严相济的刑事司法政策和认罪认罚从宽制度，将天理、国法、人情贯穿于案件处理全过程，办好群众身边每一起“小案”。结合办案分析社会综合治理短板，通过制发检察建议、综合报告等方式推动社会治安防控体系的完善。坚持将促成矛盾实质性化解、社会关系修复作为更高公正标准，依托“12309”检察服务平台，依法灵活适用诉讼外和解、司法救助等手段，实现案结事了。实质化办好控告申诉案件，切实解决信访积案和群众合法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依法强化生态保护。严厉打击盗伐林木等破坏生态资源犯罪，坚决纠正有案不立、有罪不究、以罚代刑、降格处理等问题。推进跨区域跨部门协作，落实“河湖长+检察长+警长”协作机制，强化杜柯河、则曲河流域司法保护，推动和服务“十年禁渔计划”，形成保护合力。完善内部线索移送和协调处理机制，全面加强生态环境案件公益诉讼、刑事、民事、行政检察的有效衔接。探索建立生态环境修复补偿与认罪认罚从宽制度衔接机制，在惩治犯罪的同时，积极督促修复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努力服务乡村振兴。精准把握服务保障乡村振兴战略实施的思路目标，全面协调充分履行刑事、民事、行政和公益诉讼检察职能，综合运用打击、预防、监督、教育、保护等手段，全力推动“六新”工程建设。认真分析和总结涉农刑事案件的发案规律和特点，从速从快、保质保量办理好涉农案件。妥善处理因邻里纠纷和家庭矛盾引发的轻微刑事案件，维护农村社会和谐稳定。积极运用司法调解手段，促成当事人息诉和解，防止矛盾激化。全力服务乡村绿水青山建设，对农村生态环境和资源领域受到侵害的案件及时提起公益诉讼。结合检察职能，开展形式多样的“送法下乡”和“送法进村”活动，提高农牧民守法和维权意识，为乡村振兴营造良好的法治环境。持续开展好“两联一进”活动，从基础设施建设、产业发展等方面加大帮扶力度，扎实做好帮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（二）充分发挥监督职能，推进“四大检察”平衡发展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做优刑事检察。以降低“案-件比”为目标，加强侦查引导、案件审查，逐步降低案件退查率，提高办案效率。建立健全侦查机关办理重大、疑难案件听取意见建议机制，提高引导侦查取证质量；推进认罪认罚从宽制度深化适用，提高精准量刑和量刑协商能力。全面贯彻“少捕慎诉慎押”司法政策，建立健全羁押必要性审查机制，推行不起诉案件公开审查和公开宣告。抓实刑事执行监督，克服不愿监督、不会监督和形式监督等问题，保障被羁押人员的合法权益。推动行政执法和刑事司法无缝对接，优化“行刑衔接”平台，推进案件双向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做强民事检察。努力拓展民事检察的广度和深度，聚焦民间借贷、劳动争议纠纷等重点领域，大力开展虚假诉讼领域违法行为监督专项活动。充分发挥支持起诉职能，加强对农民工等特殊群体维权支持起诉力度。综合运行民事检察职能，精确服务民营企业发展，推动涉民营经济民事案件和解工作，保障民营企业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做实行政检察。找准行政检察工作的切入点，综合运用抗诉、检察建议等方式，精准监督行政诉讼活动、行政执行活动等方面问题。开展行政行为合法性的审查和监督，推动解决依法行政和社会层面的共性问题。常态化开展行政争议实质性化解，主动探索参与调解或行政复议阶段的行政争议化解工作，推动诉源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 xml:space="preserve">做好公益诉讼检察。聚焦人民群众关注度高，公共利益损害大的问题，更加注重生态环境、食品药品安全的保护，持续抓紧抓实抓出成效。健全完善公益诉讼检察配套工作制度，加强与行政执法机关信息共享，有效拓展案件线索收集渠道。常态化开展公益诉讼“回头看”，对发出的检察建议进行全面梳理排查，努力让每一份检察建议“落地有声”，件件有回应、件件出成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 xml:space="preserve">（三）不断提升能力素质，全力打造“五个过硬”队伍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加强政治思想建设。坚持从把握新发展阶段、贯彻新发展理念、构建新发展格局的实际出发，切实把习近平法治思想融会贯通到检察工作的每一个环节。严格落实意识形态工作责任制。压实主体责任，加强有效监管。加强民族团结进步教育，深化民族团结进步创建，切实筑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加强履职能力建设。进一步优化班子队伍结构，激发队伍活力。坚持不懈抓好执法规范化建设，注重解决“本领恐慌”和培养“工匠精神”。坚持以“检察夜校”为平台，积极创新培训方式，通过网络学习、专家授课、案例分析、案件辩论等方式，多措并举狠抓业务知识培训。加强检察人才培养，为青年干警量身制定培养清单、提供平台、搭建阶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加强纪律作风建设。坚定不移落实全面从严治党治检主体责任，强化履行党风廉政建设“一岗双责”意识，切实把纪律和规矩挺在前面。持续抓好“三个规定”落实，加强对司法办案的同步监督。严格执行《壤塘县人民检察院行为禁令》，加强干警八小时外监管。落实群众工作十项机制，试点推行积分制考核，激发干警工作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（四）切实加强检务保障，积极推进“智慧检察”建设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深入推进智慧检务建设。全面运行统一业务应用系统，实现所有办案信息网上录入、办案流程网上管理、办案活动网上监督、办案数据网上生成。全面推行公文网上流转OA系统，力争实现无纸化办公。持续推进官方网站和“两微一端”的深度运用，构建多元化多层次传播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黑体" w:eastAsia="楷体_GB2312" w:cs="楷体_GB2312"/>
          <w:b/>
          <w:bCs/>
          <w:kern w:val="2"/>
          <w:sz w:val="32"/>
          <w:szCs w:val="32"/>
        </w:rPr>
      </w:pPr>
      <w:r>
        <w:rPr>
          <w:rFonts w:hint="eastAsia" w:ascii="仿宋_GB2312" w:hAnsi="黑体" w:eastAsia="仿宋_GB2312" w:cs="仿宋_GB2312"/>
          <w:b w:val="0"/>
          <w:bCs w:val="0"/>
          <w:kern w:val="2"/>
          <w:sz w:val="32"/>
          <w:szCs w:val="32"/>
          <w:lang w:val="en-US" w:eastAsia="zh-CN" w:bidi="ar-SA"/>
        </w:rPr>
        <w:t>深入推进信息化建设。积极争取上级院支持，加快检察通讯设备、视频会议设备、信息网络设备的改造升级。加快“12309”检察服务中心改造，为群众提供更方便更快捷服务。</w:t>
      </w:r>
    </w:p>
    <w:p>
      <w:pPr>
        <w:pStyle w:val="14"/>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leftChars="0" w:firstLine="627" w:firstLineChars="196"/>
        <w:textAlignment w:val="auto"/>
        <w:outlineLvl w:val="0"/>
        <w:rPr>
          <w:rFonts w:hint="eastAsia" w:ascii="黑体" w:hAnsi="黑体" w:eastAsia="黑体" w:cs="黑体"/>
          <w:kern w:val="2"/>
          <w:sz w:val="32"/>
          <w:szCs w:val="32"/>
        </w:rPr>
      </w:pPr>
      <w:bookmarkStart w:id="3" w:name="_Toc19284"/>
      <w:r>
        <w:rPr>
          <w:rFonts w:hint="eastAsia" w:ascii="黑体" w:hAnsi="黑体" w:eastAsia="黑体" w:cs="黑体"/>
          <w:kern w:val="2"/>
          <w:sz w:val="32"/>
          <w:szCs w:val="32"/>
        </w:rPr>
        <w:t>部门预算单位构成</w:t>
      </w:r>
      <w:bookmarkEnd w:id="3"/>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196"/>
        <w:textAlignment w:val="auto"/>
        <w:outlineLvl w:val="9"/>
        <w:rPr>
          <w:rFonts w:hint="eastAsia" w:ascii="仿宋_GB2312" w:hAnsi="黑体" w:eastAsia="仿宋_GB2312" w:cs="仿宋_GB2312"/>
          <w:b w:val="0"/>
          <w:bCs w:val="0"/>
          <w:kern w:val="2"/>
          <w:sz w:val="32"/>
          <w:szCs w:val="32"/>
          <w:lang w:val="en-US" w:eastAsia="zh-CN" w:bidi="ar-SA"/>
        </w:rPr>
      </w:pPr>
      <w:r>
        <w:rPr>
          <w:rFonts w:hint="eastAsia" w:ascii="仿宋_GB2312" w:hAnsi="黑体" w:eastAsia="仿宋_GB2312" w:cs="仿宋_GB2312"/>
          <w:b w:val="0"/>
          <w:bCs w:val="0"/>
          <w:kern w:val="2"/>
          <w:sz w:val="32"/>
          <w:szCs w:val="32"/>
          <w:lang w:val="en-US" w:eastAsia="zh-CN" w:bidi="ar-SA"/>
        </w:rPr>
        <w:t>壤塘县人民检察院属一级单位，无下属二级预算单位。</w:t>
      </w:r>
    </w:p>
    <w:p>
      <w:pPr>
        <w:pStyle w:val="14"/>
        <w:spacing w:before="0" w:line="360" w:lineRule="auto"/>
        <w:ind w:firstLine="627" w:firstLineChars="196"/>
        <w:outlineLvl w:val="0"/>
        <w:rPr>
          <w:rFonts w:hAnsi="黑体"/>
          <w:kern w:val="2"/>
          <w:sz w:val="32"/>
          <w:szCs w:val="32"/>
        </w:rPr>
      </w:pPr>
      <w:bookmarkStart w:id="4" w:name="_Toc17456"/>
      <w:r>
        <w:rPr>
          <w:rFonts w:hint="eastAsia" w:ascii="黑体" w:hAnsi="黑体" w:eastAsia="黑体" w:cs="黑体"/>
          <w:kern w:val="2"/>
          <w:sz w:val="32"/>
          <w:szCs w:val="32"/>
        </w:rPr>
        <w:t>三、收支预算情况说明</w:t>
      </w:r>
      <w:bookmarkEnd w:id="4"/>
    </w:p>
    <w:p>
      <w:pPr>
        <w:pStyle w:val="14"/>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hAnsi="黑体"/>
          <w:kern w:val="2"/>
          <w:sz w:val="32"/>
          <w:szCs w:val="32"/>
        </w:rPr>
      </w:pPr>
      <w:r>
        <w:rPr>
          <w:rFonts w:hint="eastAsia" w:hAnsi="黑体"/>
          <w:kern w:val="2"/>
          <w:sz w:val="32"/>
          <w:szCs w:val="32"/>
        </w:rPr>
        <w:t>按照综合预算的原则，壤塘县人民检察院所有收入和支出均纳入部门预算管理。收入包括：一般公共预算拨款收入</w:t>
      </w:r>
      <w:r>
        <w:rPr>
          <w:rFonts w:hint="eastAsia" w:hAnsi="黑体"/>
          <w:kern w:val="2"/>
          <w:sz w:val="32"/>
          <w:szCs w:val="32"/>
          <w:lang w:val="en-US" w:eastAsia="zh-CN"/>
        </w:rPr>
        <w:t>472.94</w:t>
      </w:r>
      <w:r>
        <w:rPr>
          <w:rFonts w:hint="eastAsia" w:hAnsi="黑体"/>
          <w:kern w:val="2"/>
          <w:sz w:val="32"/>
          <w:szCs w:val="32"/>
        </w:rPr>
        <w:t>万元，事业收入0万元，其他收入0万元，上年结转0万元；支出包括：公共安全支出</w:t>
      </w:r>
      <w:r>
        <w:rPr>
          <w:rFonts w:hint="eastAsia" w:hAnsi="黑体"/>
          <w:kern w:val="2"/>
          <w:sz w:val="32"/>
          <w:szCs w:val="32"/>
          <w:lang w:val="en-US" w:eastAsia="zh-CN"/>
        </w:rPr>
        <w:t>348.00</w:t>
      </w:r>
      <w:r>
        <w:rPr>
          <w:rFonts w:hint="eastAsia" w:hAnsi="黑体"/>
          <w:kern w:val="2"/>
          <w:sz w:val="32"/>
          <w:szCs w:val="32"/>
        </w:rPr>
        <w:t>万元，社会保障和就业支出</w:t>
      </w:r>
      <w:r>
        <w:rPr>
          <w:rFonts w:hint="eastAsia" w:hAnsi="黑体"/>
          <w:kern w:val="2"/>
          <w:sz w:val="32"/>
          <w:szCs w:val="32"/>
          <w:lang w:val="en-US" w:eastAsia="zh-CN"/>
        </w:rPr>
        <w:t>59.29</w:t>
      </w:r>
      <w:r>
        <w:rPr>
          <w:rFonts w:hint="eastAsia" w:hAnsi="黑体"/>
          <w:kern w:val="2"/>
          <w:sz w:val="32"/>
          <w:szCs w:val="32"/>
        </w:rPr>
        <w:t>万元，卫生健康支出</w:t>
      </w:r>
      <w:r>
        <w:rPr>
          <w:rFonts w:hint="eastAsia" w:hAnsi="黑体"/>
          <w:kern w:val="2"/>
          <w:sz w:val="32"/>
          <w:szCs w:val="32"/>
          <w:lang w:val="en-US" w:eastAsia="zh-CN"/>
        </w:rPr>
        <w:t>22.77</w:t>
      </w:r>
      <w:r>
        <w:rPr>
          <w:rFonts w:hint="eastAsia" w:hAnsi="黑体"/>
          <w:kern w:val="2"/>
          <w:sz w:val="32"/>
          <w:szCs w:val="32"/>
        </w:rPr>
        <w:t>万元，住房保障支出</w:t>
      </w:r>
      <w:r>
        <w:rPr>
          <w:rFonts w:hint="eastAsia" w:hAnsi="黑体"/>
          <w:kern w:val="2"/>
          <w:sz w:val="32"/>
          <w:szCs w:val="32"/>
          <w:lang w:val="en-US" w:eastAsia="zh-CN"/>
        </w:rPr>
        <w:t>42.88</w:t>
      </w:r>
      <w:r>
        <w:rPr>
          <w:rFonts w:hint="eastAsia" w:hAnsi="黑体"/>
          <w:kern w:val="2"/>
          <w:sz w:val="32"/>
          <w:szCs w:val="32"/>
        </w:rPr>
        <w:t>万元。壤塘县人民检察院202</w:t>
      </w:r>
      <w:r>
        <w:rPr>
          <w:rFonts w:hint="eastAsia" w:hAnsi="黑体"/>
          <w:kern w:val="2"/>
          <w:sz w:val="32"/>
          <w:szCs w:val="32"/>
          <w:lang w:val="en-US" w:eastAsia="zh-CN"/>
        </w:rPr>
        <w:t>2</w:t>
      </w:r>
      <w:r>
        <w:rPr>
          <w:rFonts w:hint="eastAsia" w:hAnsi="黑体"/>
          <w:kern w:val="2"/>
          <w:sz w:val="32"/>
          <w:szCs w:val="32"/>
        </w:rPr>
        <w:t>年收支总预算</w:t>
      </w:r>
      <w:r>
        <w:rPr>
          <w:rFonts w:hint="eastAsia" w:hAnsi="黑体"/>
          <w:kern w:val="2"/>
          <w:sz w:val="32"/>
          <w:szCs w:val="32"/>
          <w:lang w:val="en-US" w:eastAsia="zh-CN"/>
        </w:rPr>
        <w:t>472.94</w:t>
      </w:r>
      <w:r>
        <w:rPr>
          <w:rFonts w:hint="eastAsia" w:hAnsi="黑体"/>
          <w:kern w:val="2"/>
          <w:sz w:val="32"/>
          <w:szCs w:val="32"/>
        </w:rPr>
        <w:t>万元,比20</w:t>
      </w:r>
      <w:r>
        <w:rPr>
          <w:rFonts w:hint="eastAsia" w:hAnsi="黑体"/>
          <w:kern w:val="2"/>
          <w:sz w:val="32"/>
          <w:szCs w:val="32"/>
          <w:lang w:val="en-US" w:eastAsia="zh-CN"/>
        </w:rPr>
        <w:t>21</w:t>
      </w:r>
      <w:r>
        <w:rPr>
          <w:rFonts w:hint="eastAsia" w:hAnsi="黑体"/>
          <w:kern w:val="2"/>
          <w:sz w:val="32"/>
          <w:szCs w:val="32"/>
        </w:rPr>
        <w:t>年收支预算总数</w:t>
      </w:r>
      <w:r>
        <w:rPr>
          <w:rFonts w:hint="eastAsia" w:hAnsi="黑体"/>
          <w:kern w:val="2"/>
          <w:sz w:val="32"/>
          <w:szCs w:val="32"/>
          <w:lang w:val="en-US" w:eastAsia="zh-CN"/>
        </w:rPr>
        <w:t>增加15.64</w:t>
      </w:r>
      <w:r>
        <w:rPr>
          <w:rFonts w:hint="eastAsia" w:hAnsi="黑体"/>
          <w:kern w:val="2"/>
          <w:sz w:val="32"/>
          <w:szCs w:val="32"/>
        </w:rPr>
        <w:t>万元，主要原因:</w:t>
      </w:r>
      <w:r>
        <w:rPr>
          <w:rFonts w:hint="eastAsia" w:hAnsi="黑体"/>
          <w:kern w:val="2"/>
          <w:sz w:val="32"/>
          <w:szCs w:val="32"/>
          <w:lang w:val="en-US" w:eastAsia="zh-CN"/>
        </w:rPr>
        <w:t>2022人员经费增加</w:t>
      </w:r>
      <w:r>
        <w:rPr>
          <w:rFonts w:hint="eastAsia" w:hAnsi="黑体"/>
          <w:kern w:val="2"/>
          <w:sz w:val="32"/>
          <w:szCs w:val="32"/>
        </w:rPr>
        <w:t>。</w:t>
      </w:r>
    </w:p>
    <w:p>
      <w:pPr>
        <w:pStyle w:val="14"/>
        <w:numPr>
          <w:ilvl w:val="0"/>
          <w:numId w:val="2"/>
        </w:numPr>
        <w:spacing w:before="0" w:line="360" w:lineRule="auto"/>
        <w:ind w:firstLine="630" w:firstLineChars="196"/>
        <w:outlineLvl w:val="1"/>
        <w:rPr>
          <w:rFonts w:hint="eastAsia" w:hAnsi="黑体"/>
          <w:kern w:val="2"/>
          <w:sz w:val="32"/>
          <w:szCs w:val="32"/>
        </w:rPr>
      </w:pPr>
      <w:bookmarkStart w:id="5" w:name="_Toc15363"/>
      <w:r>
        <w:rPr>
          <w:rFonts w:hint="eastAsia" w:ascii="楷体_GB2312" w:hAnsi="黑体" w:eastAsia="楷体_GB2312" w:cs="楷体_GB2312"/>
          <w:b/>
          <w:bCs/>
          <w:kern w:val="2"/>
          <w:sz w:val="32"/>
          <w:szCs w:val="32"/>
        </w:rPr>
        <w:t>收入预算情况</w:t>
      </w:r>
      <w:bookmarkEnd w:id="5"/>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kern w:val="2"/>
          <w:sz w:val="32"/>
          <w:szCs w:val="32"/>
        </w:rPr>
      </w:pPr>
      <w:r>
        <w:rPr>
          <w:rFonts w:hint="eastAsia" w:hAnsi="黑体"/>
          <w:kern w:val="2"/>
          <w:sz w:val="32"/>
          <w:szCs w:val="32"/>
        </w:rPr>
        <w:t>壤塘县人民检察院202</w:t>
      </w:r>
      <w:r>
        <w:rPr>
          <w:rFonts w:hint="eastAsia" w:hAnsi="黑体"/>
          <w:kern w:val="2"/>
          <w:sz w:val="32"/>
          <w:szCs w:val="32"/>
          <w:lang w:val="en-US" w:eastAsia="zh-CN"/>
        </w:rPr>
        <w:t>2</w:t>
      </w:r>
      <w:r>
        <w:rPr>
          <w:rFonts w:hint="eastAsia" w:hAnsi="黑体"/>
          <w:kern w:val="2"/>
          <w:sz w:val="32"/>
          <w:szCs w:val="32"/>
        </w:rPr>
        <w:t>年收入预算</w:t>
      </w:r>
      <w:r>
        <w:rPr>
          <w:rFonts w:hint="eastAsia" w:hAnsi="黑体"/>
          <w:kern w:val="2"/>
          <w:sz w:val="32"/>
          <w:szCs w:val="32"/>
          <w:lang w:val="en-US" w:eastAsia="zh-CN"/>
        </w:rPr>
        <w:t>472.94</w:t>
      </w:r>
      <w:r>
        <w:rPr>
          <w:rFonts w:hint="eastAsia" w:hAnsi="黑体"/>
          <w:kern w:val="2"/>
          <w:sz w:val="32"/>
          <w:szCs w:val="32"/>
        </w:rPr>
        <w:t>万元，其中：一般公共预算拨款收入</w:t>
      </w:r>
      <w:r>
        <w:rPr>
          <w:rFonts w:hint="eastAsia" w:hAnsi="黑体"/>
          <w:kern w:val="2"/>
          <w:sz w:val="32"/>
          <w:szCs w:val="32"/>
          <w:lang w:val="en-US" w:eastAsia="zh-CN"/>
        </w:rPr>
        <w:t>472.94</w:t>
      </w:r>
      <w:r>
        <w:rPr>
          <w:rFonts w:hint="eastAsia" w:hAnsi="黑体"/>
          <w:kern w:val="2"/>
          <w:sz w:val="32"/>
          <w:szCs w:val="32"/>
        </w:rPr>
        <w:t>万元，占100%。</w:t>
      </w:r>
    </w:p>
    <w:p>
      <w:pPr>
        <w:pStyle w:val="14"/>
        <w:numPr>
          <w:ilvl w:val="0"/>
          <w:numId w:val="0"/>
        </w:numPr>
        <w:spacing w:before="0" w:line="360" w:lineRule="auto"/>
        <w:outlineLvl w:val="1"/>
        <w:rPr>
          <w:rFonts w:hint="eastAsia" w:ascii="楷体_GB2312" w:hAnsi="黑体" w:eastAsia="楷体_GB2312" w:cs="楷体_GB2312"/>
          <w:b/>
          <w:bCs/>
          <w:kern w:val="2"/>
          <w:sz w:val="32"/>
          <w:szCs w:val="32"/>
        </w:rPr>
      </w:pPr>
      <w:bookmarkStart w:id="6" w:name="_Toc26440"/>
      <w:r>
        <w:rPr>
          <w:rFonts w:hint="eastAsia" w:ascii="楷体_GB2312" w:hAnsi="黑体" w:eastAsia="楷体_GB2312" w:cs="楷体_GB2312"/>
          <w:b/>
          <w:bCs/>
          <w:kern w:val="2"/>
          <w:sz w:val="32"/>
          <w:szCs w:val="32"/>
        </w:rPr>
        <w:t>（二）支出预算情况</w:t>
      </w:r>
      <w:bookmarkEnd w:id="6"/>
    </w:p>
    <w:p>
      <w:pPr>
        <w:pStyle w:val="14"/>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hAnsi="黑体"/>
          <w:kern w:val="2"/>
          <w:sz w:val="32"/>
          <w:szCs w:val="32"/>
        </w:rPr>
      </w:pPr>
      <w:r>
        <w:rPr>
          <w:rFonts w:hint="eastAsia" w:hAnsi="黑体"/>
          <w:kern w:val="2"/>
          <w:sz w:val="32"/>
          <w:szCs w:val="32"/>
        </w:rPr>
        <w:t>壤塘县人民检察院202</w:t>
      </w:r>
      <w:r>
        <w:rPr>
          <w:rFonts w:hint="eastAsia" w:hAnsi="黑体"/>
          <w:kern w:val="2"/>
          <w:sz w:val="32"/>
          <w:szCs w:val="32"/>
          <w:lang w:val="en-US" w:eastAsia="zh-CN"/>
        </w:rPr>
        <w:t>2</w:t>
      </w:r>
      <w:r>
        <w:rPr>
          <w:rFonts w:hint="eastAsia" w:hAnsi="黑体"/>
          <w:kern w:val="2"/>
          <w:sz w:val="32"/>
          <w:szCs w:val="32"/>
        </w:rPr>
        <w:t>年支出预算</w:t>
      </w:r>
      <w:r>
        <w:rPr>
          <w:rFonts w:hint="eastAsia" w:hAnsi="黑体"/>
          <w:kern w:val="2"/>
          <w:sz w:val="32"/>
          <w:szCs w:val="32"/>
          <w:lang w:val="en-US" w:eastAsia="zh-CN"/>
        </w:rPr>
        <w:t>472.94</w:t>
      </w:r>
      <w:r>
        <w:rPr>
          <w:rFonts w:hint="eastAsia" w:hAnsi="黑体"/>
          <w:kern w:val="2"/>
          <w:sz w:val="32"/>
          <w:szCs w:val="32"/>
        </w:rPr>
        <w:t>万元，其中：基本支出</w:t>
      </w:r>
      <w:r>
        <w:rPr>
          <w:rFonts w:hint="eastAsia" w:hAnsi="黑体"/>
          <w:kern w:val="2"/>
          <w:sz w:val="32"/>
          <w:szCs w:val="32"/>
          <w:lang w:val="en-US" w:eastAsia="zh-CN"/>
        </w:rPr>
        <w:t>472.94</w:t>
      </w:r>
      <w:r>
        <w:rPr>
          <w:rFonts w:hint="eastAsia" w:hAnsi="黑体"/>
          <w:kern w:val="2"/>
          <w:sz w:val="32"/>
          <w:szCs w:val="32"/>
        </w:rPr>
        <w:t>万元，占</w:t>
      </w:r>
      <w:r>
        <w:rPr>
          <w:rFonts w:hint="eastAsia" w:hAnsi="黑体"/>
          <w:kern w:val="2"/>
          <w:sz w:val="32"/>
          <w:szCs w:val="32"/>
          <w:lang w:val="en-US" w:eastAsia="zh-CN"/>
        </w:rPr>
        <w:t>100</w:t>
      </w:r>
      <w:r>
        <w:rPr>
          <w:rFonts w:hint="eastAsia" w:hAnsi="黑体"/>
          <w:kern w:val="2"/>
          <w:sz w:val="32"/>
          <w:szCs w:val="32"/>
        </w:rPr>
        <w:t>%。</w:t>
      </w:r>
    </w:p>
    <w:p>
      <w:pPr>
        <w:pStyle w:val="14"/>
        <w:numPr>
          <w:ilvl w:val="0"/>
          <w:numId w:val="3"/>
        </w:numPr>
        <w:spacing w:before="0" w:line="360" w:lineRule="auto"/>
        <w:ind w:firstLine="640" w:firstLineChars="200"/>
        <w:outlineLvl w:val="0"/>
        <w:rPr>
          <w:rFonts w:hint="eastAsia" w:ascii="黑体" w:hAnsi="黑体" w:eastAsia="黑体" w:cs="黑体"/>
          <w:kern w:val="2"/>
          <w:sz w:val="32"/>
          <w:szCs w:val="32"/>
        </w:rPr>
      </w:pPr>
      <w:bookmarkStart w:id="7" w:name="_Toc16236"/>
      <w:r>
        <w:rPr>
          <w:rFonts w:hint="eastAsia" w:ascii="黑体" w:hAnsi="黑体" w:eastAsia="黑体" w:cs="黑体"/>
          <w:kern w:val="2"/>
          <w:sz w:val="32"/>
          <w:szCs w:val="32"/>
        </w:rPr>
        <w:t>财政拨款收支预算情况说明</w:t>
      </w:r>
      <w:bookmarkEnd w:id="7"/>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kern w:val="2"/>
          <w:sz w:val="32"/>
          <w:szCs w:val="32"/>
          <w:lang w:eastAsia="zh-CN"/>
        </w:rPr>
      </w:pPr>
      <w:r>
        <w:rPr>
          <w:rFonts w:hint="eastAsia" w:hAnsi="黑体"/>
          <w:kern w:val="2"/>
          <w:sz w:val="32"/>
          <w:szCs w:val="32"/>
        </w:rPr>
        <w:t>壤塘县人民检察院202</w:t>
      </w:r>
      <w:r>
        <w:rPr>
          <w:rFonts w:hint="eastAsia" w:hAnsi="黑体"/>
          <w:kern w:val="2"/>
          <w:sz w:val="32"/>
          <w:szCs w:val="32"/>
          <w:lang w:val="en-US" w:eastAsia="zh-CN"/>
        </w:rPr>
        <w:t>2</w:t>
      </w:r>
      <w:r>
        <w:rPr>
          <w:rFonts w:hint="eastAsia" w:hAnsi="黑体"/>
          <w:kern w:val="2"/>
          <w:sz w:val="32"/>
          <w:szCs w:val="32"/>
        </w:rPr>
        <w:t>年财政拨款收支总预算</w:t>
      </w:r>
      <w:r>
        <w:rPr>
          <w:rFonts w:hint="eastAsia" w:hAnsi="黑体"/>
          <w:kern w:val="2"/>
          <w:sz w:val="32"/>
          <w:szCs w:val="32"/>
          <w:lang w:val="en-US" w:eastAsia="zh-CN"/>
        </w:rPr>
        <w:t>472.94</w:t>
      </w:r>
      <w:r>
        <w:rPr>
          <w:rFonts w:hint="eastAsia" w:hAnsi="黑体"/>
          <w:kern w:val="2"/>
          <w:sz w:val="32"/>
          <w:szCs w:val="32"/>
        </w:rPr>
        <w:t>万元,比20</w:t>
      </w:r>
      <w:r>
        <w:rPr>
          <w:rFonts w:hint="eastAsia" w:hAnsi="黑体"/>
          <w:kern w:val="2"/>
          <w:sz w:val="32"/>
          <w:szCs w:val="32"/>
          <w:lang w:val="en-US" w:eastAsia="zh-CN"/>
        </w:rPr>
        <w:t>21</w:t>
      </w:r>
      <w:r>
        <w:rPr>
          <w:rFonts w:hint="eastAsia" w:hAnsi="黑体"/>
          <w:kern w:val="2"/>
          <w:sz w:val="32"/>
          <w:szCs w:val="32"/>
        </w:rPr>
        <w:t>年财政拨款收支总预算</w:t>
      </w:r>
      <w:r>
        <w:rPr>
          <w:rFonts w:hint="eastAsia" w:hAnsi="黑体"/>
          <w:kern w:val="2"/>
          <w:sz w:val="32"/>
          <w:szCs w:val="32"/>
          <w:lang w:val="en-US" w:eastAsia="zh-CN"/>
        </w:rPr>
        <w:t>增加15.64</w:t>
      </w:r>
      <w:r>
        <w:rPr>
          <w:rFonts w:hint="eastAsia" w:hAnsi="黑体"/>
          <w:kern w:val="2"/>
          <w:sz w:val="32"/>
          <w:szCs w:val="32"/>
          <w:lang w:eastAsia="zh-CN"/>
        </w:rPr>
        <w:t>万元，主要原因:</w:t>
      </w:r>
      <w:r>
        <w:rPr>
          <w:rFonts w:hint="eastAsia" w:hAnsi="黑体"/>
          <w:kern w:val="2"/>
          <w:sz w:val="32"/>
          <w:szCs w:val="32"/>
          <w:lang w:val="en-US" w:eastAsia="zh-CN"/>
        </w:rPr>
        <w:t>2022人员经费增加</w:t>
      </w:r>
      <w:r>
        <w:rPr>
          <w:rFonts w:hint="eastAsia" w:hAnsi="黑体"/>
          <w:kern w:val="2"/>
          <w:sz w:val="32"/>
          <w:szCs w:val="32"/>
        </w:rPr>
        <w:t>。收入包括：本年一般公共预算拨款收入</w:t>
      </w:r>
      <w:r>
        <w:rPr>
          <w:rFonts w:hint="eastAsia" w:hAnsi="黑体"/>
          <w:kern w:val="2"/>
          <w:sz w:val="32"/>
          <w:szCs w:val="32"/>
          <w:lang w:val="en-US" w:eastAsia="zh-CN"/>
        </w:rPr>
        <w:t>472.94</w:t>
      </w:r>
      <w:r>
        <w:rPr>
          <w:rFonts w:hint="eastAsia" w:hAnsi="黑体"/>
          <w:kern w:val="2"/>
          <w:sz w:val="32"/>
          <w:szCs w:val="32"/>
        </w:rPr>
        <w:t>万元，上年结转一般公共预算收入</w:t>
      </w:r>
      <w:r>
        <w:rPr>
          <w:rFonts w:hint="eastAsia" w:hAnsi="黑体"/>
          <w:kern w:val="2"/>
          <w:sz w:val="32"/>
          <w:szCs w:val="32"/>
          <w:lang w:val="en-US" w:eastAsia="zh-CN"/>
        </w:rPr>
        <w:t>0</w:t>
      </w:r>
      <w:r>
        <w:rPr>
          <w:rFonts w:hint="eastAsia" w:hAnsi="黑体"/>
          <w:kern w:val="2"/>
          <w:sz w:val="32"/>
          <w:szCs w:val="32"/>
        </w:rPr>
        <w:t>万元，上年结转财政拨款资金</w:t>
      </w:r>
      <w:r>
        <w:rPr>
          <w:rFonts w:hint="eastAsia" w:hAnsi="黑体"/>
          <w:kern w:val="2"/>
          <w:sz w:val="32"/>
          <w:szCs w:val="32"/>
          <w:lang w:val="en-US" w:eastAsia="zh-CN"/>
        </w:rPr>
        <w:t>0</w:t>
      </w:r>
      <w:r>
        <w:rPr>
          <w:rFonts w:hint="eastAsia" w:hAnsi="黑体"/>
          <w:kern w:val="2"/>
          <w:sz w:val="32"/>
          <w:szCs w:val="32"/>
        </w:rPr>
        <w:t>万元</w:t>
      </w:r>
      <w:r>
        <w:rPr>
          <w:rFonts w:hint="eastAsia" w:hAnsi="黑体"/>
          <w:kern w:val="2"/>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hAnsi="黑体"/>
          <w:kern w:val="2"/>
          <w:sz w:val="32"/>
          <w:szCs w:val="32"/>
        </w:rPr>
      </w:pPr>
      <w:r>
        <w:rPr>
          <w:rFonts w:hint="eastAsia" w:hAnsi="黑体"/>
          <w:kern w:val="2"/>
          <w:sz w:val="32"/>
          <w:szCs w:val="32"/>
        </w:rPr>
        <w:t>支出包括：公共安全支出</w:t>
      </w:r>
      <w:r>
        <w:rPr>
          <w:rFonts w:hint="eastAsia" w:hAnsi="黑体"/>
          <w:kern w:val="2"/>
          <w:sz w:val="32"/>
          <w:szCs w:val="32"/>
          <w:lang w:val="en-US" w:eastAsia="zh-CN"/>
        </w:rPr>
        <w:t>348.00</w:t>
      </w:r>
      <w:r>
        <w:rPr>
          <w:rFonts w:hint="eastAsia" w:hAnsi="黑体"/>
          <w:kern w:val="2"/>
          <w:sz w:val="32"/>
          <w:szCs w:val="32"/>
        </w:rPr>
        <w:t>万元，社会保障和就业支出</w:t>
      </w:r>
      <w:r>
        <w:rPr>
          <w:rFonts w:hint="eastAsia" w:hAnsi="黑体"/>
          <w:kern w:val="2"/>
          <w:sz w:val="32"/>
          <w:szCs w:val="32"/>
          <w:lang w:val="en-US" w:eastAsia="zh-CN"/>
        </w:rPr>
        <w:t>59.29</w:t>
      </w:r>
      <w:r>
        <w:rPr>
          <w:rFonts w:hint="eastAsia" w:hAnsi="黑体"/>
          <w:kern w:val="2"/>
          <w:sz w:val="32"/>
          <w:szCs w:val="32"/>
        </w:rPr>
        <w:t>万元，卫生健康支出</w:t>
      </w:r>
      <w:r>
        <w:rPr>
          <w:rFonts w:hint="eastAsia" w:hAnsi="黑体"/>
          <w:kern w:val="2"/>
          <w:sz w:val="32"/>
          <w:szCs w:val="32"/>
          <w:lang w:val="en-US" w:eastAsia="zh-CN"/>
        </w:rPr>
        <w:t>22.77</w:t>
      </w:r>
      <w:r>
        <w:rPr>
          <w:rFonts w:hint="eastAsia" w:hAnsi="黑体"/>
          <w:kern w:val="2"/>
          <w:sz w:val="32"/>
          <w:szCs w:val="32"/>
        </w:rPr>
        <w:t>万元，住房保障支出</w:t>
      </w:r>
      <w:r>
        <w:rPr>
          <w:rFonts w:hint="eastAsia" w:hAnsi="黑体"/>
          <w:kern w:val="2"/>
          <w:sz w:val="32"/>
          <w:szCs w:val="32"/>
          <w:lang w:val="en-US" w:eastAsia="zh-CN"/>
        </w:rPr>
        <w:t>42.88</w:t>
      </w:r>
      <w:r>
        <w:rPr>
          <w:rFonts w:hint="eastAsia" w:hAnsi="黑体"/>
          <w:kern w:val="2"/>
          <w:sz w:val="32"/>
          <w:szCs w:val="32"/>
        </w:rPr>
        <w:t>万元。</w:t>
      </w:r>
    </w:p>
    <w:p>
      <w:pPr>
        <w:pStyle w:val="14"/>
        <w:numPr>
          <w:ilvl w:val="0"/>
          <w:numId w:val="3"/>
        </w:numPr>
        <w:spacing w:before="0" w:line="360" w:lineRule="auto"/>
        <w:ind w:left="0" w:leftChars="0" w:firstLine="640" w:firstLineChars="200"/>
        <w:outlineLvl w:val="0"/>
        <w:rPr>
          <w:rFonts w:hint="eastAsia" w:ascii="黑体" w:hAnsi="黑体" w:eastAsia="黑体" w:cs="黑体"/>
          <w:kern w:val="2"/>
          <w:sz w:val="32"/>
          <w:szCs w:val="32"/>
        </w:rPr>
      </w:pPr>
      <w:bookmarkStart w:id="8" w:name="_Toc12950"/>
      <w:r>
        <w:rPr>
          <w:rFonts w:hint="eastAsia" w:ascii="黑体" w:hAnsi="黑体" w:eastAsia="黑体" w:cs="黑体"/>
          <w:kern w:val="2"/>
          <w:sz w:val="32"/>
          <w:szCs w:val="32"/>
        </w:rPr>
        <w:t>一般公共预算当年拨款情况说明</w:t>
      </w:r>
      <w:bookmarkEnd w:id="8"/>
    </w:p>
    <w:p>
      <w:pPr>
        <w:pStyle w:val="14"/>
        <w:numPr>
          <w:ilvl w:val="0"/>
          <w:numId w:val="0"/>
        </w:numPr>
        <w:spacing w:before="0" w:line="360" w:lineRule="auto"/>
        <w:ind w:leftChars="200"/>
        <w:outlineLvl w:val="1"/>
        <w:rPr>
          <w:rFonts w:hAnsi="黑体" w:cs="Times New Roman"/>
          <w:kern w:val="2"/>
          <w:sz w:val="32"/>
          <w:szCs w:val="32"/>
        </w:rPr>
      </w:pPr>
      <w:bookmarkStart w:id="9" w:name="_Toc2568"/>
      <w:r>
        <w:rPr>
          <w:rFonts w:hint="eastAsia" w:ascii="楷体_GB2312" w:hAnsi="黑体" w:eastAsia="楷体_GB2312" w:cs="楷体_GB2312"/>
          <w:b/>
          <w:bCs/>
          <w:kern w:val="2"/>
          <w:sz w:val="32"/>
          <w:szCs w:val="32"/>
        </w:rPr>
        <w:t>（一）一般公共预算当年拨款规模变化情况</w:t>
      </w:r>
      <w:bookmarkEnd w:id="9"/>
    </w:p>
    <w:p>
      <w:pPr>
        <w:pStyle w:val="14"/>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hAnsi="黑体"/>
          <w:kern w:val="2"/>
          <w:sz w:val="32"/>
          <w:szCs w:val="32"/>
          <w:lang w:val="en-US" w:eastAsia="zh-CN"/>
        </w:rPr>
      </w:pPr>
      <w:r>
        <w:rPr>
          <w:rFonts w:hint="eastAsia" w:hAnsi="黑体"/>
          <w:kern w:val="2"/>
          <w:sz w:val="32"/>
          <w:szCs w:val="32"/>
        </w:rPr>
        <w:t>壤塘县人民检察院202</w:t>
      </w:r>
      <w:r>
        <w:rPr>
          <w:rFonts w:hint="eastAsia" w:hAnsi="黑体"/>
          <w:kern w:val="2"/>
          <w:sz w:val="32"/>
          <w:szCs w:val="32"/>
          <w:lang w:val="en-US" w:eastAsia="zh-CN"/>
        </w:rPr>
        <w:t>2</w:t>
      </w:r>
      <w:r>
        <w:rPr>
          <w:rFonts w:hint="eastAsia" w:hAnsi="黑体"/>
          <w:kern w:val="2"/>
          <w:sz w:val="32"/>
          <w:szCs w:val="32"/>
        </w:rPr>
        <w:t>年一般公共预算当年拨款</w:t>
      </w:r>
      <w:r>
        <w:rPr>
          <w:rFonts w:hint="eastAsia" w:hAnsi="黑体"/>
          <w:kern w:val="2"/>
          <w:sz w:val="32"/>
          <w:szCs w:val="32"/>
          <w:lang w:val="en-US" w:eastAsia="zh-CN"/>
        </w:rPr>
        <w:t>472.94</w:t>
      </w:r>
      <w:r>
        <w:rPr>
          <w:rFonts w:hint="eastAsia" w:hAnsi="黑体"/>
          <w:kern w:val="2"/>
          <w:sz w:val="32"/>
          <w:szCs w:val="32"/>
        </w:rPr>
        <w:t>万元，比20</w:t>
      </w:r>
      <w:r>
        <w:rPr>
          <w:rFonts w:hint="eastAsia" w:hAnsi="黑体"/>
          <w:kern w:val="2"/>
          <w:sz w:val="32"/>
          <w:szCs w:val="32"/>
          <w:lang w:val="en-US" w:eastAsia="zh-CN"/>
        </w:rPr>
        <w:t>21</w:t>
      </w:r>
      <w:r>
        <w:rPr>
          <w:rFonts w:hint="eastAsia" w:hAnsi="黑体"/>
          <w:kern w:val="2"/>
          <w:sz w:val="32"/>
          <w:szCs w:val="32"/>
        </w:rPr>
        <w:t>年预算数</w:t>
      </w:r>
      <w:r>
        <w:rPr>
          <w:rFonts w:hint="eastAsia" w:hAnsi="黑体"/>
          <w:kern w:val="2"/>
          <w:sz w:val="32"/>
          <w:szCs w:val="32"/>
          <w:lang w:val="en-US" w:eastAsia="zh-CN"/>
        </w:rPr>
        <w:t>增加15.64</w:t>
      </w:r>
      <w:r>
        <w:rPr>
          <w:rFonts w:hint="eastAsia" w:hAnsi="黑体"/>
          <w:kern w:val="2"/>
          <w:sz w:val="32"/>
          <w:szCs w:val="32"/>
        </w:rPr>
        <w:t>万元，主要是基本支出</w:t>
      </w:r>
      <w:r>
        <w:rPr>
          <w:rFonts w:hint="eastAsia" w:hAnsi="黑体"/>
          <w:kern w:val="2"/>
          <w:sz w:val="32"/>
          <w:szCs w:val="32"/>
          <w:lang w:val="en-US" w:eastAsia="zh-CN"/>
        </w:rPr>
        <w:t>增加15.64</w:t>
      </w:r>
      <w:r>
        <w:rPr>
          <w:rFonts w:hint="eastAsia" w:hAnsi="黑体"/>
          <w:kern w:val="2"/>
          <w:sz w:val="32"/>
          <w:szCs w:val="32"/>
          <w:lang w:eastAsia="zh-CN"/>
        </w:rPr>
        <w:t>万元，主要原因:</w:t>
      </w:r>
      <w:r>
        <w:rPr>
          <w:rFonts w:hint="eastAsia" w:hAnsi="黑体"/>
          <w:kern w:val="2"/>
          <w:sz w:val="32"/>
          <w:szCs w:val="32"/>
          <w:lang w:val="en-US" w:eastAsia="zh-CN"/>
        </w:rPr>
        <w:t>2022人员经费增加。</w:t>
      </w:r>
    </w:p>
    <w:p>
      <w:pPr>
        <w:pStyle w:val="14"/>
        <w:spacing w:before="0" w:line="360" w:lineRule="auto"/>
        <w:ind w:firstLine="630" w:firstLineChars="196"/>
        <w:outlineLvl w:val="1"/>
        <w:rPr>
          <w:rFonts w:hint="eastAsia" w:ascii="楷体_GB2312" w:hAnsi="黑体" w:eastAsia="楷体_GB2312" w:cs="楷体_GB2312"/>
          <w:b/>
          <w:bCs/>
          <w:kern w:val="2"/>
          <w:sz w:val="32"/>
          <w:szCs w:val="32"/>
        </w:rPr>
      </w:pPr>
      <w:bookmarkStart w:id="10" w:name="_Toc17873"/>
      <w:r>
        <w:rPr>
          <w:rFonts w:hint="eastAsia" w:ascii="楷体_GB2312" w:hAnsi="黑体" w:eastAsia="楷体_GB2312" w:cs="楷体_GB2312"/>
          <w:b/>
          <w:bCs/>
          <w:kern w:val="2"/>
          <w:sz w:val="32"/>
          <w:szCs w:val="32"/>
        </w:rPr>
        <w:t>（二）一般公共预算当年拨款结构情况</w:t>
      </w:r>
      <w:bookmarkEnd w:id="10"/>
    </w:p>
    <w:p>
      <w:pPr>
        <w:pStyle w:val="14"/>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公共安全支出348.00万元，占73.58%；社会保障和就业支出59.29万元，占12.54%；卫生健康支出22.77万元，占4.81%；住房保障支出42.88万元，占9.07%。</w:t>
      </w:r>
    </w:p>
    <w:p>
      <w:pPr>
        <w:pStyle w:val="14"/>
        <w:numPr>
          <w:ilvl w:val="0"/>
          <w:numId w:val="2"/>
        </w:numPr>
        <w:spacing w:before="0" w:line="360" w:lineRule="auto"/>
        <w:ind w:left="0" w:leftChars="0" w:firstLine="630" w:firstLineChars="196"/>
        <w:outlineLvl w:val="1"/>
        <w:rPr>
          <w:rFonts w:hint="eastAsia" w:ascii="楷体_GB2312" w:hAnsi="黑体" w:eastAsia="楷体_GB2312" w:cs="楷体_GB2312"/>
          <w:b/>
          <w:bCs/>
          <w:kern w:val="2"/>
          <w:sz w:val="32"/>
          <w:szCs w:val="32"/>
        </w:rPr>
      </w:pPr>
      <w:bookmarkStart w:id="11" w:name="_Toc3403"/>
      <w:r>
        <w:rPr>
          <w:rFonts w:hint="eastAsia" w:ascii="楷体_GB2312" w:hAnsi="黑体" w:eastAsia="楷体_GB2312" w:cs="楷体_GB2312"/>
          <w:b/>
          <w:bCs/>
          <w:kern w:val="2"/>
          <w:sz w:val="32"/>
          <w:szCs w:val="32"/>
        </w:rPr>
        <w:t>一般公共预算当年拨款具体使用情况</w:t>
      </w:r>
      <w:bookmarkEnd w:id="11"/>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1．公共安全支出（类）检察（款）行政运行（项）2022年预算数为348.00万元，主要用于:工资、办公费、差旅费等。</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640" w:firstLineChars="20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社会保障和就业支出（类）行政事业单位离退休（款）机关事业单位基本养老保险缴费支出（项）2022年预算数59.29万元，主要用于养老保险缴费。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640" w:firstLineChars="20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3．社会保障和就业支出（类）行政事业单位离退休（款）机关事业单位职业年金缴费支出（项）2022年预算数19.76万元，主要用于职业年金缴费。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640" w:firstLineChars="20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4．医疗卫生与计划生育支出（类）行政事业单位医疗（款）行政单位医疗（项）2021年预算数17.29万元，主要用于行政单位医疗缴费。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640" w:firstLineChars="20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5．医疗卫生与计划生育支出（类）行政事业单位医疗（款）公务员医疗补助项）2022年预算数5.48万元，主要用于公务员医疗补助缴费。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640" w:firstLineChars="20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6．住房保障支出（类）住房改革支出（款）住房公积金（项）2022年预算数42.88万元，主要用于住房公积金缴纳。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30" w:lineRule="atLeast"/>
        <w:ind w:left="0" w:right="0" w:firstLine="420"/>
        <w:jc w:val="left"/>
        <w:outlineLvl w:val="0"/>
        <w:rPr>
          <w:rFonts w:hint="eastAsia" w:ascii="黑体" w:hAnsi="黑体" w:eastAsia="黑体" w:cs="黑体"/>
          <w:kern w:val="2"/>
          <w:sz w:val="32"/>
          <w:szCs w:val="32"/>
        </w:rPr>
      </w:pPr>
      <w:bookmarkStart w:id="12" w:name="_Toc17102"/>
      <w:r>
        <w:rPr>
          <w:rFonts w:hint="eastAsia" w:ascii="黑体" w:hAnsi="黑体" w:eastAsia="黑体" w:cs="黑体"/>
          <w:kern w:val="2"/>
          <w:sz w:val="32"/>
          <w:szCs w:val="32"/>
        </w:rPr>
        <w:t>六、一般公共预算基本支出情况说明</w:t>
      </w:r>
      <w:bookmarkEnd w:id="1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hAnsi="黑体"/>
          <w:kern w:val="2"/>
          <w:sz w:val="32"/>
          <w:szCs w:val="32"/>
        </w:rPr>
      </w:pPr>
      <w:r>
        <w:rPr>
          <w:rFonts w:hint="eastAsia" w:ascii="仿宋_GB2312" w:hAnsi="黑体" w:eastAsia="仿宋_GB2312" w:cs="仿宋_GB2312"/>
          <w:kern w:val="2"/>
          <w:sz w:val="32"/>
          <w:szCs w:val="32"/>
          <w:lang w:val="en-US" w:eastAsia="zh-CN" w:bidi="ar-SA"/>
        </w:rPr>
        <w:t>壤塘县人民检察院2022年一般公共预算基本支出472.94万元，其中：人员经费427.99万元，主要包括：基本工资、津贴补贴、奖金、其他社会保障缴费、绩效工资、机关事业单位基本养老保险缴费、职业年金缴费、其他工资福利支出、离休费、奖励金、住房公积金、其他对个人和家庭的补助支出。公用经费44.94万元，主要包括：办公费、印刷费、手续费、水费、电费、邮电费、差旅费、维修（护）费、租赁费、会议费、培训费、劳务费、工会经费、福利费、其他交通工具运行维护费、其他商品和服务支出</w:t>
      </w:r>
      <w:r>
        <w:rPr>
          <w:rFonts w:hint="eastAsia" w:hAnsi="黑体"/>
          <w:kern w:val="2"/>
          <w:sz w:val="32"/>
          <w:szCs w:val="32"/>
        </w:rPr>
        <w:t>。</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30" w:lineRule="atLeast"/>
        <w:ind w:leftChars="200" w:right="0" w:rightChars="0"/>
        <w:jc w:val="left"/>
        <w:outlineLvl w:val="0"/>
        <w:rPr>
          <w:rFonts w:hint="eastAsia" w:ascii="黑体" w:hAnsi="黑体" w:eastAsia="黑体" w:cs="黑体"/>
          <w:kern w:val="2"/>
          <w:sz w:val="32"/>
          <w:szCs w:val="32"/>
        </w:rPr>
      </w:pPr>
      <w:bookmarkStart w:id="13" w:name="_Toc18717"/>
      <w:r>
        <w:rPr>
          <w:rFonts w:hint="eastAsia" w:ascii="黑体" w:hAnsi="黑体" w:eastAsia="黑体" w:cs="Times New Roman"/>
          <w:kern w:val="2"/>
          <w:sz w:val="32"/>
          <w:szCs w:val="32"/>
          <w:lang w:val="en-US" w:eastAsia="zh-CN"/>
        </w:rPr>
        <w:t>七、</w:t>
      </w:r>
      <w:r>
        <w:rPr>
          <w:rFonts w:ascii="黑体" w:hAnsi="黑体" w:eastAsia="黑体" w:cs="Times New Roman"/>
          <w:kern w:val="2"/>
          <w:sz w:val="32"/>
          <w:szCs w:val="32"/>
        </w:rPr>
        <w:t>“</w:t>
      </w:r>
      <w:r>
        <w:rPr>
          <w:rFonts w:hint="eastAsia" w:ascii="黑体" w:hAnsi="黑体" w:eastAsia="黑体" w:cs="黑体"/>
          <w:kern w:val="2"/>
          <w:sz w:val="32"/>
          <w:szCs w:val="32"/>
        </w:rPr>
        <w:t>三公</w:t>
      </w:r>
      <w:r>
        <w:rPr>
          <w:rFonts w:ascii="黑体" w:hAnsi="黑体" w:eastAsia="黑体" w:cs="Times New Roman"/>
          <w:kern w:val="2"/>
          <w:sz w:val="32"/>
          <w:szCs w:val="32"/>
        </w:rPr>
        <w:t>”</w:t>
      </w:r>
      <w:r>
        <w:rPr>
          <w:rFonts w:hint="eastAsia" w:ascii="黑体" w:hAnsi="黑体" w:eastAsia="黑体" w:cs="黑体"/>
          <w:kern w:val="2"/>
          <w:sz w:val="32"/>
          <w:szCs w:val="32"/>
        </w:rPr>
        <w:t>经费财政拨款预算安排情况说明</w:t>
      </w:r>
      <w:bookmarkEnd w:id="13"/>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壤塘县人民检察院2022年“三公”经费财政拨款预算数2.8万元，其中：因公出国（境）经费0万元，公务接待费0.8万元，公务用车购置及运行维护费2万元。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（一）2022年因公出国（境）经费0万元。较2021年预算经费0万元增长0%，主要原因是：无人员出国（境）。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（二）2022年公务接待经费0.8万元。较2021年预算经费0.76万元增加0.04万元，主要原因是：我院接待费需求增加。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（三）2022年公务用车购置及运行维护费2.8万元。较2021年预算经费2.5万元增加0.3万元，主要原因：我院案件增多。</w:t>
      </w:r>
    </w:p>
    <w:p>
      <w:pPr>
        <w:pStyle w:val="8"/>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30" w:lineRule="atLeast"/>
        <w:ind w:left="0" w:right="0" w:firstLine="420"/>
        <w:outlineLvl w:val="0"/>
        <w:rPr>
          <w:rFonts w:hint="eastAsia" w:ascii="黑体" w:hAnsi="黑体" w:eastAsia="黑体" w:cs="黑体"/>
          <w:kern w:val="2"/>
          <w:sz w:val="32"/>
          <w:szCs w:val="32"/>
        </w:rPr>
      </w:pPr>
      <w:bookmarkStart w:id="14" w:name="_Toc8604"/>
      <w:r>
        <w:rPr>
          <w:rFonts w:hint="eastAsia" w:ascii="黑体" w:hAnsi="黑体" w:eastAsia="黑体" w:cs="黑体"/>
          <w:kern w:val="2"/>
          <w:sz w:val="32"/>
          <w:szCs w:val="32"/>
        </w:rPr>
        <w:t>政府性基金预算支出情况说明</w:t>
      </w:r>
      <w:bookmarkEnd w:id="14"/>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我院无政府性基金预算支出。</w:t>
      </w:r>
    </w:p>
    <w:p>
      <w:pPr>
        <w:pStyle w:val="8"/>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30" w:lineRule="atLeast"/>
        <w:ind w:left="0" w:leftChars="0" w:right="0" w:rightChars="0" w:firstLine="420" w:firstLineChars="0"/>
        <w:outlineLvl w:val="0"/>
        <w:rPr>
          <w:rFonts w:hint="eastAsia" w:hAnsi="黑体"/>
          <w:kern w:val="2"/>
          <w:sz w:val="32"/>
          <w:szCs w:val="32"/>
        </w:rPr>
      </w:pPr>
      <w:bookmarkStart w:id="15" w:name="_Toc30223"/>
      <w:r>
        <w:rPr>
          <w:rFonts w:hint="eastAsia" w:ascii="黑体" w:hAnsi="黑体" w:eastAsia="黑体" w:cs="黑体"/>
          <w:kern w:val="2"/>
          <w:sz w:val="32"/>
          <w:szCs w:val="32"/>
        </w:rPr>
        <w:t>其他重要事项的情况说明</w:t>
      </w:r>
      <w:bookmarkEnd w:id="15"/>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30" w:lineRule="atLeast"/>
        <w:ind w:left="420" w:leftChars="0" w:right="0" w:rightChars="0"/>
        <w:outlineLvl w:val="1"/>
        <w:rPr>
          <w:rFonts w:ascii="楷体_GB2312" w:hAnsi="黑体" w:eastAsia="楷体_GB2312" w:cs="Times New Roman"/>
          <w:b/>
          <w:bCs/>
          <w:kern w:val="2"/>
          <w:sz w:val="32"/>
          <w:szCs w:val="32"/>
        </w:rPr>
      </w:pPr>
      <w:bookmarkStart w:id="16" w:name="_Toc15953"/>
      <w:r>
        <w:rPr>
          <w:rFonts w:hint="eastAsia" w:ascii="楷体_GB2312" w:hAnsi="黑体" w:eastAsia="楷体_GB2312" w:cs="楷体_GB2312"/>
          <w:b/>
          <w:bCs/>
          <w:kern w:val="2"/>
          <w:sz w:val="32"/>
          <w:szCs w:val="32"/>
        </w:rPr>
        <w:t>机关运行经</w:t>
      </w:r>
      <w:r>
        <w:rPr>
          <w:rFonts w:hint="eastAsia" w:ascii="楷体_GB2312" w:hAnsi="黑体" w:eastAsia="楷体_GB2312" w:cs="楷体_GB2312"/>
          <w:b/>
          <w:bCs/>
          <w:kern w:val="2"/>
          <w:sz w:val="32"/>
          <w:szCs w:val="32"/>
          <w:lang w:val="en-US" w:eastAsia="zh-CN"/>
        </w:rPr>
        <w:t>费</w:t>
      </w:r>
      <w:bookmarkEnd w:id="16"/>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壤塘县人民检察院2022年机关运行经费财政拨款预算为44.94万元，比2021年预算增加2.28万元，增加5.34%。</w:t>
      </w:r>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30" w:lineRule="atLeast"/>
        <w:ind w:left="420" w:leftChars="0" w:right="0" w:rightChars="0" w:firstLine="0" w:firstLineChars="0"/>
        <w:outlineLvl w:val="1"/>
        <w:rPr>
          <w:rFonts w:hint="eastAsia" w:ascii="楷体_GB2312" w:hAnsi="黑体" w:eastAsia="楷体_GB2312" w:cs="楷体_GB2312"/>
          <w:b/>
          <w:bCs/>
          <w:kern w:val="2"/>
          <w:sz w:val="32"/>
          <w:szCs w:val="32"/>
        </w:rPr>
      </w:pPr>
      <w:bookmarkStart w:id="17" w:name="_Toc13925"/>
      <w:r>
        <w:rPr>
          <w:rFonts w:hint="eastAsia" w:ascii="楷体_GB2312" w:hAnsi="黑体" w:eastAsia="楷体_GB2312" w:cs="楷体_GB2312"/>
          <w:b/>
          <w:bCs/>
          <w:kern w:val="2"/>
          <w:sz w:val="32"/>
          <w:szCs w:val="32"/>
        </w:rPr>
        <w:t>政府采购情况</w:t>
      </w:r>
      <w:bookmarkEnd w:id="17"/>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202</w:t>
      </w:r>
      <w:r>
        <w:rPr>
          <w:rFonts w:hint="eastAsia" w:hAnsi="黑体" w:cs="仿宋_GB2312"/>
          <w:kern w:val="2"/>
          <w:sz w:val="32"/>
          <w:szCs w:val="32"/>
          <w:lang w:val="en-US" w:eastAsia="zh-CN" w:bidi="ar-SA"/>
        </w:rPr>
        <w:t>2</w:t>
      </w:r>
      <w:r>
        <w:rPr>
          <w:rFonts w:hint="eastAsia" w:ascii="仿宋_GB2312" w:hAnsi="黑体" w:eastAsia="仿宋_GB2312" w:cs="仿宋_GB2312"/>
          <w:kern w:val="2"/>
          <w:sz w:val="32"/>
          <w:szCs w:val="32"/>
          <w:lang w:val="en-US" w:eastAsia="zh-CN" w:bidi="ar-SA"/>
        </w:rPr>
        <w:t>年壤塘县人民检察院安排政府采购预算0万元，主要用于：我院无政府采购。</w:t>
      </w:r>
    </w:p>
    <w:p>
      <w:pPr>
        <w:pStyle w:val="14"/>
        <w:numPr>
          <w:ilvl w:val="0"/>
          <w:numId w:val="6"/>
        </w:numPr>
        <w:spacing w:before="0" w:line="360" w:lineRule="auto"/>
        <w:ind w:left="420" w:leftChars="0" w:firstLine="0" w:firstLineChars="0"/>
        <w:outlineLvl w:val="1"/>
        <w:rPr>
          <w:rFonts w:hint="eastAsia" w:ascii="楷体_GB2312" w:hAnsi="黑体" w:eastAsia="楷体_GB2312" w:cs="楷体_GB2312"/>
          <w:b/>
          <w:bCs/>
          <w:kern w:val="2"/>
          <w:sz w:val="32"/>
          <w:szCs w:val="32"/>
        </w:rPr>
      </w:pPr>
      <w:bookmarkStart w:id="18" w:name="_Toc13964"/>
      <w:r>
        <w:rPr>
          <w:rFonts w:hint="eastAsia" w:ascii="楷体_GB2312" w:hAnsi="黑体" w:eastAsia="楷体_GB2312" w:cs="楷体_GB2312"/>
          <w:b/>
          <w:bCs/>
          <w:kern w:val="2"/>
          <w:sz w:val="32"/>
          <w:szCs w:val="32"/>
        </w:rPr>
        <w:t>国有资产占有使用情况</w:t>
      </w:r>
      <w:bookmarkEnd w:id="18"/>
    </w:p>
    <w:p>
      <w:pPr>
        <w:pStyle w:val="14"/>
        <w:numPr>
          <w:ilvl w:val="0"/>
          <w:numId w:val="6"/>
        </w:numPr>
        <w:spacing w:before="0" w:line="360" w:lineRule="auto"/>
        <w:ind w:left="420" w:leftChars="0" w:firstLine="0" w:firstLineChars="0"/>
        <w:outlineLvl w:val="1"/>
        <w:rPr>
          <w:rFonts w:hint="eastAsia" w:ascii="楷体_GB2312" w:hAnsi="黑体" w:eastAsia="楷体_GB2312" w:cs="楷体_GB2312"/>
          <w:b/>
          <w:bCs/>
          <w:kern w:val="2"/>
          <w:sz w:val="32"/>
          <w:szCs w:val="32"/>
        </w:rPr>
      </w:pPr>
      <w:bookmarkStart w:id="19" w:name="_Toc11297"/>
      <w:r>
        <w:rPr>
          <w:rFonts w:hint="eastAsia" w:ascii="楷体_GB2312" w:hAnsi="黑体" w:eastAsia="楷体_GB2312" w:cs="楷体_GB2312"/>
          <w:b/>
          <w:bCs/>
          <w:kern w:val="2"/>
          <w:sz w:val="32"/>
          <w:szCs w:val="32"/>
        </w:rPr>
        <w:t>绩效目标设置情况</w:t>
      </w:r>
      <w:bookmarkEnd w:id="19"/>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textAlignment w:val="auto"/>
        <w:outlineLvl w:val="9"/>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壤塘县人民检察院202</w:t>
      </w:r>
      <w:r>
        <w:rPr>
          <w:rFonts w:hint="eastAsia" w:hAnsi="黑体" w:cs="仿宋_GB2312"/>
          <w:kern w:val="2"/>
          <w:sz w:val="32"/>
          <w:szCs w:val="32"/>
          <w:lang w:val="en-US" w:eastAsia="zh-CN" w:bidi="ar-SA"/>
        </w:rPr>
        <w:t>2</w:t>
      </w:r>
      <w:r>
        <w:rPr>
          <w:rFonts w:hint="eastAsia" w:ascii="仿宋_GB2312" w:hAnsi="黑体" w:eastAsia="仿宋_GB2312" w:cs="仿宋_GB2312"/>
          <w:kern w:val="2"/>
          <w:sz w:val="32"/>
          <w:szCs w:val="32"/>
          <w:lang w:val="en-US" w:eastAsia="zh-CN" w:bidi="ar-SA"/>
        </w:rPr>
        <w:t>年通用项目和专用项目均按要求实行绩效目标管理，涉及一般公共预算当年拨款</w:t>
      </w:r>
      <w:r>
        <w:rPr>
          <w:rFonts w:hint="eastAsia" w:hAnsi="黑体" w:cs="仿宋_GB2312"/>
          <w:kern w:val="2"/>
          <w:sz w:val="32"/>
          <w:szCs w:val="32"/>
          <w:lang w:val="en-US" w:eastAsia="zh-CN" w:bidi="ar-SA"/>
        </w:rPr>
        <w:t>472.94</w:t>
      </w:r>
      <w:r>
        <w:rPr>
          <w:rFonts w:hint="eastAsia" w:ascii="仿宋_GB2312" w:hAnsi="黑体" w:eastAsia="仿宋_GB2312" w:cs="仿宋_GB2312"/>
          <w:kern w:val="2"/>
          <w:sz w:val="32"/>
          <w:szCs w:val="32"/>
          <w:lang w:val="en-US" w:eastAsia="zh-CN" w:bidi="ar-SA"/>
        </w:rPr>
        <w:t>万元。</w:t>
      </w:r>
    </w:p>
    <w:p>
      <w:pPr>
        <w:pStyle w:val="14"/>
        <w:numPr>
          <w:ilvl w:val="0"/>
          <w:numId w:val="5"/>
        </w:numPr>
        <w:spacing w:before="0" w:line="360" w:lineRule="auto"/>
        <w:ind w:left="0" w:leftChars="0" w:firstLine="420" w:firstLineChars="0"/>
        <w:outlineLvl w:val="0"/>
        <w:rPr>
          <w:rFonts w:hint="eastAsia" w:ascii="黑体" w:hAnsi="黑体" w:eastAsia="黑体" w:cs="黑体"/>
          <w:kern w:val="2"/>
          <w:sz w:val="32"/>
          <w:szCs w:val="32"/>
        </w:rPr>
      </w:pPr>
      <w:bookmarkStart w:id="20" w:name="_Toc7092"/>
      <w:r>
        <w:rPr>
          <w:rFonts w:hint="eastAsia" w:ascii="黑体" w:hAnsi="黑体" w:eastAsia="黑体" w:cs="黑体"/>
          <w:kern w:val="2"/>
          <w:sz w:val="32"/>
          <w:szCs w:val="32"/>
        </w:rPr>
        <w:t>名词解释</w:t>
      </w:r>
      <w:bookmarkEnd w:id="20"/>
    </w:p>
    <w:p>
      <w:pPr>
        <w:pStyle w:val="14"/>
        <w:keepNext w:val="0"/>
        <w:keepLines w:val="0"/>
        <w:pageBreakBefore w:val="0"/>
        <w:widowControl w:val="0"/>
        <w:numPr>
          <w:ilvl w:val="0"/>
          <w:numId w:val="7"/>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kern w:val="2"/>
          <w:sz w:val="32"/>
          <w:szCs w:val="32"/>
        </w:rPr>
      </w:pPr>
      <w:r>
        <w:rPr>
          <w:rFonts w:hint="eastAsia" w:hAnsi="黑体"/>
          <w:kern w:val="2"/>
          <w:sz w:val="32"/>
          <w:szCs w:val="32"/>
        </w:rPr>
        <w:t>财政拨款收入：指由财政拨款形成的部门收入。按现行管理制度，部门预算中反映的财政拨款仅包括一般公共预算拨款和政府性基金预算拨款。</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eastAsia="仿宋_GB2312"/>
          <w:kern w:val="2"/>
          <w:sz w:val="32"/>
          <w:szCs w:val="32"/>
          <w:lang w:eastAsia="zh-CN"/>
        </w:rPr>
      </w:pPr>
      <w:r>
        <w:rPr>
          <w:rFonts w:hint="eastAsia" w:hAnsi="黑体"/>
          <w:kern w:val="2"/>
          <w:sz w:val="32"/>
          <w:szCs w:val="32"/>
        </w:rPr>
        <w:t>（二）事业收入：指所属事业单位开展专业业务活动及辅助活动所取得的收入。</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eastAsia="仿宋_GB2312"/>
          <w:kern w:val="2"/>
          <w:sz w:val="32"/>
          <w:szCs w:val="32"/>
          <w:lang w:eastAsia="zh-CN"/>
        </w:rPr>
      </w:pPr>
      <w:r>
        <w:rPr>
          <w:rFonts w:hint="eastAsia" w:hAnsi="黑体"/>
          <w:kern w:val="2"/>
          <w:sz w:val="32"/>
          <w:szCs w:val="32"/>
        </w:rPr>
        <w:t>　　（三）事业单位经营收入：指所属事业单位在专业业务活动及其辅助活动之外开展非独立核算经营活动取得的收入。</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eastAsia="仿宋_GB2312"/>
          <w:kern w:val="2"/>
          <w:sz w:val="32"/>
          <w:szCs w:val="32"/>
          <w:lang w:eastAsia="zh-CN"/>
        </w:rPr>
      </w:pPr>
      <w:r>
        <w:rPr>
          <w:rFonts w:hint="eastAsia" w:hAnsi="黑体"/>
          <w:kern w:val="2"/>
          <w:sz w:val="32"/>
          <w:szCs w:val="32"/>
        </w:rPr>
        <w:t>　　（四）其他收入：指除上述</w:t>
      </w:r>
      <w:r>
        <w:rPr>
          <w:rFonts w:hAnsi="黑体" w:cs="Times New Roman"/>
          <w:kern w:val="2"/>
          <w:sz w:val="32"/>
          <w:szCs w:val="32"/>
        </w:rPr>
        <w:t>“</w:t>
      </w:r>
      <w:r>
        <w:rPr>
          <w:rFonts w:hint="eastAsia" w:hAnsi="黑体"/>
          <w:kern w:val="2"/>
          <w:sz w:val="32"/>
          <w:szCs w:val="32"/>
        </w:rPr>
        <w:t>财政拨款收入</w:t>
      </w:r>
      <w:r>
        <w:rPr>
          <w:rFonts w:hAnsi="黑体" w:cs="Times New Roman"/>
          <w:kern w:val="2"/>
          <w:sz w:val="32"/>
          <w:szCs w:val="32"/>
        </w:rPr>
        <w:t>”</w:t>
      </w:r>
      <w:r>
        <w:rPr>
          <w:rFonts w:hint="eastAsia" w:hAnsi="黑体"/>
          <w:kern w:val="2"/>
          <w:sz w:val="32"/>
          <w:szCs w:val="32"/>
        </w:rPr>
        <w:t>、</w:t>
      </w:r>
      <w:r>
        <w:rPr>
          <w:rFonts w:hAnsi="黑体" w:cs="Times New Roman"/>
          <w:kern w:val="2"/>
          <w:sz w:val="32"/>
          <w:szCs w:val="32"/>
        </w:rPr>
        <w:t>“</w:t>
      </w:r>
      <w:r>
        <w:rPr>
          <w:rFonts w:hint="eastAsia" w:hAnsi="黑体"/>
          <w:kern w:val="2"/>
          <w:sz w:val="32"/>
          <w:szCs w:val="32"/>
        </w:rPr>
        <w:t>事业收入</w:t>
      </w:r>
      <w:r>
        <w:rPr>
          <w:rFonts w:hAnsi="黑体" w:cs="Times New Roman"/>
          <w:kern w:val="2"/>
          <w:sz w:val="32"/>
          <w:szCs w:val="32"/>
        </w:rPr>
        <w:t>”</w:t>
      </w:r>
      <w:r>
        <w:rPr>
          <w:rFonts w:hint="eastAsia" w:hAnsi="黑体"/>
          <w:kern w:val="2"/>
          <w:sz w:val="32"/>
          <w:szCs w:val="32"/>
        </w:rPr>
        <w:t>、</w:t>
      </w:r>
      <w:r>
        <w:rPr>
          <w:rFonts w:hAnsi="黑体" w:cs="Times New Roman"/>
          <w:kern w:val="2"/>
          <w:sz w:val="32"/>
          <w:szCs w:val="32"/>
        </w:rPr>
        <w:t>“</w:t>
      </w:r>
      <w:r>
        <w:rPr>
          <w:rFonts w:hint="eastAsia" w:hAnsi="黑体"/>
          <w:kern w:val="2"/>
          <w:sz w:val="32"/>
          <w:szCs w:val="32"/>
        </w:rPr>
        <w:t>事业单位经营收入</w:t>
      </w:r>
      <w:r>
        <w:rPr>
          <w:rFonts w:hAnsi="黑体" w:cs="Times New Roman"/>
          <w:kern w:val="2"/>
          <w:sz w:val="32"/>
          <w:szCs w:val="32"/>
        </w:rPr>
        <w:t>”</w:t>
      </w:r>
      <w:r>
        <w:rPr>
          <w:rFonts w:hint="eastAsia" w:hAnsi="黑体"/>
          <w:kern w:val="2"/>
          <w:sz w:val="32"/>
          <w:szCs w:val="32"/>
        </w:rPr>
        <w:t>等以外的收入，主要是所属行政事业单位按规定动用的售房收入、存款利息收入等。</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int="eastAsia" w:hAnsi="黑体" w:eastAsia="仿宋_GB2312"/>
          <w:kern w:val="2"/>
          <w:sz w:val="32"/>
          <w:szCs w:val="32"/>
          <w:lang w:eastAsia="zh-CN"/>
        </w:rPr>
      </w:pPr>
      <w:r>
        <w:rPr>
          <w:rFonts w:hint="eastAsia" w:hAnsi="黑体"/>
          <w:kern w:val="2"/>
          <w:sz w:val="32"/>
          <w:szCs w:val="32"/>
        </w:rPr>
        <w:t>　　（五）用事业基金弥补收支差额：指所属事业单位在预计用当年的</w:t>
      </w:r>
      <w:r>
        <w:rPr>
          <w:rFonts w:hAnsi="黑体" w:cs="Times New Roman"/>
          <w:kern w:val="2"/>
          <w:sz w:val="32"/>
          <w:szCs w:val="32"/>
        </w:rPr>
        <w:t>“</w:t>
      </w:r>
      <w:r>
        <w:rPr>
          <w:rFonts w:hint="eastAsia" w:hAnsi="黑体"/>
          <w:kern w:val="2"/>
          <w:sz w:val="32"/>
          <w:szCs w:val="32"/>
        </w:rPr>
        <w:t>财政拨款收入</w:t>
      </w:r>
      <w:r>
        <w:rPr>
          <w:rFonts w:hAnsi="黑体" w:cs="Times New Roman"/>
          <w:kern w:val="2"/>
          <w:sz w:val="32"/>
          <w:szCs w:val="32"/>
        </w:rPr>
        <w:t>”</w:t>
      </w:r>
      <w:r>
        <w:rPr>
          <w:rFonts w:hint="eastAsia" w:hAnsi="黑体"/>
          <w:kern w:val="2"/>
          <w:sz w:val="32"/>
          <w:szCs w:val="32"/>
        </w:rPr>
        <w:t>、</w:t>
      </w:r>
      <w:r>
        <w:rPr>
          <w:rFonts w:hAnsi="黑体" w:cs="Times New Roman"/>
          <w:kern w:val="2"/>
          <w:sz w:val="32"/>
          <w:szCs w:val="32"/>
        </w:rPr>
        <w:t>“</w:t>
      </w:r>
      <w:r>
        <w:rPr>
          <w:rFonts w:hint="eastAsia" w:hAnsi="黑体"/>
          <w:kern w:val="2"/>
          <w:sz w:val="32"/>
          <w:szCs w:val="32"/>
        </w:rPr>
        <w:t>事业收入</w:t>
      </w:r>
      <w:r>
        <w:rPr>
          <w:rFonts w:hAnsi="黑体" w:cs="Times New Roman"/>
          <w:kern w:val="2"/>
          <w:sz w:val="32"/>
          <w:szCs w:val="32"/>
        </w:rPr>
        <w:t>”</w:t>
      </w:r>
      <w:r>
        <w:rPr>
          <w:rFonts w:hint="eastAsia" w:hAnsi="黑体"/>
          <w:kern w:val="2"/>
          <w:sz w:val="32"/>
          <w:szCs w:val="32"/>
        </w:rPr>
        <w:t>、</w:t>
      </w:r>
      <w:r>
        <w:rPr>
          <w:rFonts w:hAnsi="黑体" w:cs="Times New Roman"/>
          <w:kern w:val="2"/>
          <w:sz w:val="32"/>
          <w:szCs w:val="32"/>
        </w:rPr>
        <w:t>“</w:t>
      </w:r>
      <w:r>
        <w:rPr>
          <w:rFonts w:hint="eastAsia" w:hAnsi="黑体"/>
          <w:kern w:val="2"/>
          <w:sz w:val="32"/>
          <w:szCs w:val="32"/>
        </w:rPr>
        <w:t>事业单位经营收入</w:t>
      </w:r>
      <w:r>
        <w:rPr>
          <w:rFonts w:hAnsi="黑体" w:cs="Times New Roman"/>
          <w:kern w:val="2"/>
          <w:sz w:val="32"/>
          <w:szCs w:val="32"/>
        </w:rPr>
        <w:t>”</w:t>
      </w:r>
      <w:r>
        <w:rPr>
          <w:rFonts w:hint="eastAsia" w:hAnsi="黑体"/>
          <w:kern w:val="2"/>
          <w:sz w:val="32"/>
          <w:szCs w:val="32"/>
        </w:rPr>
        <w:t>、</w:t>
      </w:r>
      <w:r>
        <w:rPr>
          <w:rFonts w:hAnsi="黑体" w:cs="Times New Roman"/>
          <w:kern w:val="2"/>
          <w:sz w:val="32"/>
          <w:szCs w:val="32"/>
        </w:rPr>
        <w:t>“</w:t>
      </w:r>
      <w:r>
        <w:rPr>
          <w:rFonts w:hint="eastAsia" w:hAnsi="黑体"/>
          <w:kern w:val="2"/>
          <w:sz w:val="32"/>
          <w:szCs w:val="32"/>
        </w:rPr>
        <w:t>其他收入</w:t>
      </w:r>
      <w:r>
        <w:rPr>
          <w:rFonts w:hAnsi="黑体" w:cs="Times New Roman"/>
          <w:kern w:val="2"/>
          <w:sz w:val="32"/>
          <w:szCs w:val="32"/>
        </w:rPr>
        <w:t>”</w:t>
      </w:r>
      <w:r>
        <w:rPr>
          <w:rFonts w:hint="eastAsia" w:hAnsi="黑体"/>
          <w:kern w:val="2"/>
          <w:sz w:val="32"/>
          <w:szCs w:val="32"/>
        </w:rPr>
        <w:t>不足以安排当年支出的情况下，使用以前年度积累的事业基金弥补本年度收支缺口的资金。</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outlineLvl w:val="9"/>
        <w:rPr>
          <w:rFonts w:hAnsi="黑体" w:cs="Times New Roman"/>
          <w:kern w:val="2"/>
          <w:sz w:val="32"/>
          <w:szCs w:val="32"/>
        </w:rPr>
      </w:pPr>
      <w:r>
        <w:rPr>
          <w:rFonts w:hint="eastAsia" w:hAnsi="黑体"/>
          <w:kern w:val="2"/>
          <w:sz w:val="32"/>
          <w:szCs w:val="32"/>
        </w:rPr>
        <w:t>　　（六）上年结转：指所属行政事业单位以前年度尚未完成、结转至本年按原规定用途继续使用的资金和以前年度已完成项目剩余资金经批准用于新用途使用的资金。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E00A"/>
    <w:multiLevelType w:val="singleLevel"/>
    <w:tmpl w:val="A4ACE00A"/>
    <w:lvl w:ilvl="0" w:tentative="0">
      <w:start w:val="1"/>
      <w:numFmt w:val="chineseCounting"/>
      <w:suff w:val="nothing"/>
      <w:lvlText w:val="%1、"/>
      <w:lvlJc w:val="left"/>
      <w:rPr>
        <w:rFonts w:hint="eastAsia"/>
      </w:rPr>
    </w:lvl>
  </w:abstractNum>
  <w:abstractNum w:abstractNumId="1">
    <w:nsid w:val="DD891DFD"/>
    <w:multiLevelType w:val="singleLevel"/>
    <w:tmpl w:val="DD891DFD"/>
    <w:lvl w:ilvl="0" w:tentative="0">
      <w:start w:val="8"/>
      <w:numFmt w:val="chineseCounting"/>
      <w:suff w:val="nothing"/>
      <w:lvlText w:val="%1、"/>
      <w:lvlJc w:val="left"/>
      <w:rPr>
        <w:rFonts w:hint="eastAsia"/>
      </w:rPr>
    </w:lvl>
  </w:abstractNum>
  <w:abstractNum w:abstractNumId="2">
    <w:nsid w:val="1CEBFF56"/>
    <w:multiLevelType w:val="singleLevel"/>
    <w:tmpl w:val="1CEBFF56"/>
    <w:lvl w:ilvl="0" w:tentative="0">
      <w:start w:val="2"/>
      <w:numFmt w:val="decimal"/>
      <w:suff w:val="nothing"/>
      <w:lvlText w:val="%1．"/>
      <w:lvlJc w:val="left"/>
    </w:lvl>
  </w:abstractNum>
  <w:abstractNum w:abstractNumId="3">
    <w:nsid w:val="35FDC0C9"/>
    <w:multiLevelType w:val="singleLevel"/>
    <w:tmpl w:val="35FDC0C9"/>
    <w:lvl w:ilvl="0" w:tentative="0">
      <w:start w:val="1"/>
      <w:numFmt w:val="chineseCounting"/>
      <w:suff w:val="nothing"/>
      <w:lvlText w:val="（%1）"/>
      <w:lvlJc w:val="left"/>
      <w:rPr>
        <w:rFonts w:hint="eastAsia"/>
      </w:rPr>
    </w:lvl>
  </w:abstractNum>
  <w:abstractNum w:abstractNumId="4">
    <w:nsid w:val="44EF1376"/>
    <w:multiLevelType w:val="singleLevel"/>
    <w:tmpl w:val="44EF1376"/>
    <w:lvl w:ilvl="0" w:tentative="0">
      <w:start w:val="4"/>
      <w:numFmt w:val="chineseCounting"/>
      <w:suff w:val="nothing"/>
      <w:lvlText w:val="%1、"/>
      <w:lvlJc w:val="left"/>
      <w:rPr>
        <w:rFonts w:hint="eastAsia"/>
      </w:rPr>
    </w:lvl>
  </w:abstractNum>
  <w:abstractNum w:abstractNumId="5">
    <w:nsid w:val="5EC421B4"/>
    <w:multiLevelType w:val="singleLevel"/>
    <w:tmpl w:val="5EC421B4"/>
    <w:lvl w:ilvl="0" w:tentative="0">
      <w:start w:val="1"/>
      <w:numFmt w:val="chineseCounting"/>
      <w:suff w:val="nothing"/>
      <w:lvlText w:val="（%1）"/>
      <w:lvlJc w:val="left"/>
      <w:rPr>
        <w:rFonts w:hint="eastAsia"/>
      </w:rPr>
    </w:lvl>
  </w:abstractNum>
  <w:abstractNum w:abstractNumId="6">
    <w:nsid w:val="6A6F0DA1"/>
    <w:multiLevelType w:val="singleLevel"/>
    <w:tmpl w:val="6A6F0DA1"/>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ZDZjZWM1ZTRkYzU4MzM1MDI2MGY0YTg2MTk4MzgifQ=="/>
  </w:docVars>
  <w:rsids>
    <w:rsidRoot w:val="00352854"/>
    <w:rsid w:val="000319A8"/>
    <w:rsid w:val="00085137"/>
    <w:rsid w:val="00097A74"/>
    <w:rsid w:val="00117BCC"/>
    <w:rsid w:val="00260082"/>
    <w:rsid w:val="00352854"/>
    <w:rsid w:val="003762A5"/>
    <w:rsid w:val="00471829"/>
    <w:rsid w:val="0047755A"/>
    <w:rsid w:val="00484AEB"/>
    <w:rsid w:val="00527A2C"/>
    <w:rsid w:val="0063440F"/>
    <w:rsid w:val="00681CB7"/>
    <w:rsid w:val="00685286"/>
    <w:rsid w:val="007B3677"/>
    <w:rsid w:val="007C7CD1"/>
    <w:rsid w:val="007E2264"/>
    <w:rsid w:val="008F63EB"/>
    <w:rsid w:val="00987B5A"/>
    <w:rsid w:val="009C5F76"/>
    <w:rsid w:val="00A55379"/>
    <w:rsid w:val="00B713B0"/>
    <w:rsid w:val="00C0348B"/>
    <w:rsid w:val="00C451EA"/>
    <w:rsid w:val="00C8183B"/>
    <w:rsid w:val="00D05C51"/>
    <w:rsid w:val="00D239DB"/>
    <w:rsid w:val="00EF71D0"/>
    <w:rsid w:val="00F743F0"/>
    <w:rsid w:val="00F806C0"/>
    <w:rsid w:val="00F80C32"/>
    <w:rsid w:val="00FF11B9"/>
    <w:rsid w:val="085B0879"/>
    <w:rsid w:val="0A5E00FF"/>
    <w:rsid w:val="0C391A34"/>
    <w:rsid w:val="28434B2F"/>
    <w:rsid w:val="2B09242F"/>
    <w:rsid w:val="343E1548"/>
    <w:rsid w:val="35340C50"/>
    <w:rsid w:val="3B965969"/>
    <w:rsid w:val="405E5289"/>
    <w:rsid w:val="4D3C7E5E"/>
    <w:rsid w:val="50424919"/>
    <w:rsid w:val="51D21EA1"/>
    <w:rsid w:val="5B5456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0">
    <w:name w:val="Default Paragraph Font"/>
    <w:semiHidden/>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中宋"/>
      <w:sz w:val="96"/>
      <w:u w:val="thick"/>
    </w:rPr>
  </w:style>
  <w:style w:type="paragraph" w:styleId="3">
    <w:name w:val="Body Text Indent"/>
    <w:basedOn w:val="1"/>
    <w:qFormat/>
    <w:uiPriority w:val="0"/>
    <w:pPr>
      <w:ind w:left="-615" w:leftChars="-293" w:firstLine="1285" w:firstLineChars="400"/>
    </w:pPr>
    <w:rPr>
      <w:rFonts w:ascii="方正仿宋简体" w:eastAsia="方正仿宋简体"/>
      <w:b/>
      <w:bCs/>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locked/>
    <w:uiPriority w:val="0"/>
  </w:style>
  <w:style w:type="paragraph" w:styleId="7">
    <w:name w:val="toc 2"/>
    <w:basedOn w:val="1"/>
    <w:next w:val="1"/>
    <w:qFormat/>
    <w:locked/>
    <w:uiPriority w:val="0"/>
    <w:pPr>
      <w:ind w:left="420" w:leftChars="200"/>
    </w:pPr>
  </w:style>
  <w:style w:type="paragraph" w:styleId="8">
    <w:name w:val="Normal (Web)"/>
    <w:basedOn w:val="1"/>
    <w:next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Emphasis"/>
    <w:basedOn w:val="10"/>
    <w:qFormat/>
    <w:uiPriority w:val="99"/>
  </w:style>
  <w:style w:type="character" w:customStyle="1" w:styleId="12">
    <w:name w:val="页脚 Char"/>
    <w:basedOn w:val="10"/>
    <w:link w:val="4"/>
    <w:semiHidden/>
    <w:qFormat/>
    <w:locked/>
    <w:uiPriority w:val="99"/>
    <w:rPr>
      <w:sz w:val="18"/>
      <w:szCs w:val="18"/>
    </w:rPr>
  </w:style>
  <w:style w:type="character" w:customStyle="1" w:styleId="13">
    <w:name w:val="页眉 Char"/>
    <w:basedOn w:val="10"/>
    <w:link w:val="5"/>
    <w:semiHidden/>
    <w:qFormat/>
    <w:locked/>
    <w:uiPriority w:val="99"/>
    <w:rPr>
      <w:sz w:val="18"/>
      <w:szCs w:val="18"/>
    </w:rPr>
  </w:style>
  <w:style w:type="paragraph" w:customStyle="1" w:styleId="14">
    <w:name w:val="正文文本1"/>
    <w:basedOn w:val="1"/>
    <w:qFormat/>
    <w:uiPriority w:val="99"/>
    <w:pPr>
      <w:spacing w:before="93"/>
    </w:pPr>
    <w:rPr>
      <w:rFonts w:ascii="仿宋_GB2312" w:hAnsi="仿宋_GB2312" w:eastAsia="仿宋_GB2312" w:cs="仿宋_GB2312"/>
      <w:kern w:val="0"/>
      <w:sz w:val="30"/>
      <w:szCs w:val="30"/>
    </w:rPr>
  </w:style>
  <w:style w:type="character" w:customStyle="1" w:styleId="15">
    <w:name w:val="默认段落字体1"/>
    <w:qFormat/>
    <w:uiPriority w:val="99"/>
    <w:rPr>
      <w:sz w:val="22"/>
      <w:szCs w:val="22"/>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13</Pages>
  <Words>5458</Words>
  <Characters>5823</Characters>
  <Lines>17</Lines>
  <Paragraphs>5</Paragraphs>
  <TotalTime>4</TotalTime>
  <ScaleCrop>false</ScaleCrop>
  <LinksUpToDate>false</LinksUpToDate>
  <CharactersWithSpaces>5913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2017-12-15T01:50:00Z</dcterms:created>
  <dc:creator>薛永萍</dc:creator>
  <cp:lastModifiedBy>Administrator</cp:lastModifiedBy>
  <dcterms:modified xsi:type="dcterms:W3CDTF">2022-12-06T02:54:54Z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7DB832086748427AAC02F2477CC45830</vt:lpwstr>
  </property>
</Properties>
</file>